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DF1B" w14:textId="77088E39" w:rsidR="00730175" w:rsidRPr="00532D1A" w:rsidRDefault="00730175" w:rsidP="006B3C54">
      <w:pPr>
        <w:spacing w:line="276" w:lineRule="auto"/>
        <w:rPr>
          <w:rFonts w:ascii="Times New Roman" w:hAnsi="Times New Roman"/>
        </w:rPr>
      </w:pPr>
      <w:r w:rsidRPr="00532D1A">
        <w:rPr>
          <w:rFonts w:ascii="Times New Roman" w:hAnsi="Times New Roman"/>
        </w:rPr>
        <w:t xml:space="preserve">Vorspann. Was wir in den vergangenen knapp drei Jahren erlebt haben, das war keine „Massenpsychose“! Das war eine ganz normale Massenloyalität, Loyalität der Bürger zu „ihrem“ Staat und Gesellschaftssystem – in den letzten 30, 40 Jahren politisch aufgebaut und mit den Mitteln von </w:t>
      </w:r>
      <w:r w:rsidR="00540F45" w:rsidRPr="00532D1A">
        <w:rPr>
          <w:rFonts w:ascii="Times New Roman" w:hAnsi="Times New Roman"/>
        </w:rPr>
        <w:t xml:space="preserve">social </w:t>
      </w:r>
      <w:proofErr w:type="spellStart"/>
      <w:r w:rsidR="00540F45" w:rsidRPr="00532D1A">
        <w:rPr>
          <w:rFonts w:ascii="Times New Roman" w:hAnsi="Times New Roman"/>
        </w:rPr>
        <w:t>engineering</w:t>
      </w:r>
      <w:proofErr w:type="spellEnd"/>
      <w:r w:rsidR="00540F45" w:rsidRPr="00532D1A">
        <w:rPr>
          <w:rFonts w:ascii="Times New Roman" w:hAnsi="Times New Roman"/>
        </w:rPr>
        <w:t xml:space="preserve">: </w:t>
      </w:r>
      <w:r w:rsidRPr="00532D1A">
        <w:rPr>
          <w:rFonts w:ascii="Times New Roman" w:hAnsi="Times New Roman"/>
        </w:rPr>
        <w:t>Schock und Terror, Spaltung und Verleumdung, Desinformation und falschen Versprechungen bis zur äußersten Anspannung strapaziert.</w:t>
      </w:r>
    </w:p>
    <w:p w14:paraId="0FEB1DAA" w14:textId="77777777" w:rsidR="00730175" w:rsidRPr="00532D1A" w:rsidRDefault="00730175" w:rsidP="006B3C54">
      <w:pPr>
        <w:spacing w:line="276" w:lineRule="auto"/>
        <w:rPr>
          <w:rFonts w:ascii="Times New Roman" w:hAnsi="Times New Roman"/>
          <w:sz w:val="28"/>
          <w:szCs w:val="28"/>
        </w:rPr>
      </w:pPr>
    </w:p>
    <w:p w14:paraId="48EF0ED5" w14:textId="4E0B7EED" w:rsidR="00F86FEA" w:rsidRPr="00532D1A" w:rsidRDefault="00F86FEA" w:rsidP="006B3C54">
      <w:pPr>
        <w:spacing w:line="276" w:lineRule="auto"/>
        <w:rPr>
          <w:rFonts w:ascii="Times New Roman" w:hAnsi="Times New Roman"/>
          <w:sz w:val="36"/>
          <w:szCs w:val="36"/>
        </w:rPr>
      </w:pPr>
      <w:r w:rsidRPr="00532D1A">
        <w:rPr>
          <w:rFonts w:ascii="Times New Roman" w:hAnsi="Times New Roman"/>
          <w:sz w:val="36"/>
          <w:szCs w:val="36"/>
        </w:rPr>
        <w:t xml:space="preserve">Wie war es möglich? </w:t>
      </w:r>
      <w:r w:rsidR="00532D1A" w:rsidRPr="00532D1A">
        <w:rPr>
          <w:rFonts w:ascii="Times New Roman" w:hAnsi="Times New Roman"/>
          <w:sz w:val="36"/>
          <w:szCs w:val="36"/>
        </w:rPr>
        <w:br/>
      </w:r>
      <w:r w:rsidRPr="00532D1A">
        <w:rPr>
          <w:rFonts w:ascii="Times New Roman" w:hAnsi="Times New Roman"/>
          <w:sz w:val="36"/>
          <w:szCs w:val="36"/>
        </w:rPr>
        <w:t>Psychologische Überlegungen zur Pandemie Inszenierung</w:t>
      </w:r>
    </w:p>
    <w:p w14:paraId="6FD373E3" w14:textId="4C455866" w:rsidR="003A0A01" w:rsidRPr="00532D1A" w:rsidRDefault="003A0A01" w:rsidP="006B3C54">
      <w:pPr>
        <w:spacing w:line="276" w:lineRule="auto"/>
        <w:rPr>
          <w:rFonts w:ascii="Times New Roman" w:hAnsi="Times New Roman"/>
          <w:sz w:val="28"/>
          <w:szCs w:val="28"/>
        </w:rPr>
      </w:pPr>
    </w:p>
    <w:p w14:paraId="1E11CBF8" w14:textId="77777777" w:rsidR="003A0A01" w:rsidRPr="00532D1A" w:rsidRDefault="003A0A01" w:rsidP="006B3C54">
      <w:pPr>
        <w:spacing w:line="276" w:lineRule="auto"/>
        <w:rPr>
          <w:rFonts w:ascii="Times New Roman" w:hAnsi="Times New Roman"/>
          <w:sz w:val="28"/>
          <w:szCs w:val="28"/>
        </w:rPr>
      </w:pPr>
      <w:r w:rsidRPr="00532D1A">
        <w:rPr>
          <w:rFonts w:ascii="Times New Roman" w:hAnsi="Times New Roman"/>
          <w:sz w:val="28"/>
          <w:szCs w:val="28"/>
        </w:rPr>
        <w:t>Klaus-Jürgen Bruder</w:t>
      </w:r>
    </w:p>
    <w:p w14:paraId="048C339F" w14:textId="77777777" w:rsidR="00806398" w:rsidRPr="00532D1A" w:rsidRDefault="00806398" w:rsidP="006B3C54">
      <w:pPr>
        <w:spacing w:line="276" w:lineRule="auto"/>
        <w:rPr>
          <w:rFonts w:ascii="Times New Roman" w:hAnsi="Times New Roman"/>
          <w:sz w:val="28"/>
          <w:szCs w:val="28"/>
        </w:rPr>
      </w:pPr>
    </w:p>
    <w:p w14:paraId="053AE356" w14:textId="2EBDAD71" w:rsidR="00EB4A1C" w:rsidRPr="00532D1A" w:rsidRDefault="00EB4A1C" w:rsidP="006B3C54">
      <w:pPr>
        <w:spacing w:line="276" w:lineRule="auto"/>
        <w:rPr>
          <w:rFonts w:ascii="Times New Roman" w:hAnsi="Times New Roman"/>
          <w:sz w:val="28"/>
          <w:szCs w:val="28"/>
        </w:rPr>
      </w:pPr>
      <w:r w:rsidRPr="00532D1A">
        <w:rPr>
          <w:rFonts w:ascii="Times New Roman" w:hAnsi="Times New Roman"/>
          <w:sz w:val="28"/>
          <w:szCs w:val="28"/>
        </w:rPr>
        <w:t>Wir waren Zeugen und oft sogar Mitspieler in einer unglaublichen Inszenierung: die Mehrzahl der Bevölkerung willigte vertrauensvoll in die Anweisungen ihre Regierung ein – obwohl diese Anweisungen ihren Interessen an der Fortsetzung ihres bisherigen Lebensalltags entgegenstanden, oder sogar widersprachen.</w:t>
      </w:r>
    </w:p>
    <w:p w14:paraId="5ACBFF13" w14:textId="5F056CBE" w:rsidR="00934299" w:rsidRPr="00532D1A" w:rsidRDefault="00934299" w:rsidP="006B3C54">
      <w:pPr>
        <w:spacing w:line="276" w:lineRule="auto"/>
        <w:rPr>
          <w:rFonts w:ascii="Times New Roman" w:hAnsi="Times New Roman"/>
          <w:b/>
          <w:bCs/>
          <w:sz w:val="28"/>
          <w:szCs w:val="28"/>
        </w:rPr>
      </w:pPr>
      <w:r w:rsidRPr="00532D1A">
        <w:rPr>
          <w:rFonts w:ascii="Times New Roman" w:hAnsi="Times New Roman"/>
          <w:b/>
          <w:bCs/>
          <w:sz w:val="28"/>
          <w:szCs w:val="28"/>
        </w:rPr>
        <w:t xml:space="preserve">Massenpsychose </w:t>
      </w:r>
    </w:p>
    <w:p w14:paraId="5B1850F4" w14:textId="56F6F2C3" w:rsidR="00D24CF2" w:rsidRPr="00532D1A" w:rsidRDefault="006B7865" w:rsidP="006B3C54">
      <w:pPr>
        <w:spacing w:line="276" w:lineRule="auto"/>
        <w:rPr>
          <w:rFonts w:ascii="Times New Roman" w:hAnsi="Times New Roman"/>
          <w:sz w:val="28"/>
          <w:szCs w:val="28"/>
        </w:rPr>
      </w:pPr>
      <w:r w:rsidRPr="00532D1A">
        <w:rPr>
          <w:rFonts w:ascii="Times New Roman" w:hAnsi="Times New Roman"/>
          <w:sz w:val="28"/>
          <w:szCs w:val="28"/>
        </w:rPr>
        <w:t xml:space="preserve">Der Psychiater Matthias </w:t>
      </w:r>
      <w:proofErr w:type="spellStart"/>
      <w:r w:rsidRPr="00532D1A">
        <w:rPr>
          <w:rFonts w:ascii="Times New Roman" w:hAnsi="Times New Roman"/>
          <w:sz w:val="28"/>
          <w:szCs w:val="28"/>
        </w:rPr>
        <w:t>Desmet</w:t>
      </w:r>
      <w:proofErr w:type="spellEnd"/>
      <w:r w:rsidRPr="00532D1A">
        <w:rPr>
          <w:rFonts w:ascii="Times New Roman" w:hAnsi="Times New Roman"/>
          <w:sz w:val="28"/>
          <w:szCs w:val="28"/>
        </w:rPr>
        <w:t xml:space="preserve"> bietet uns an, dieses Phänomen als Massenpsychose zu erklären. Interessanterweise vergibt er diese Diagnose aber ebenso an die Kritiker der Pandemie-Inszenierung und unterlegt diese Kritik „Verschwörungstheorien“. Er rechtfertigt dies damit, dass d</w:t>
      </w:r>
      <w:r w:rsidR="00D24CF2" w:rsidRPr="00532D1A">
        <w:rPr>
          <w:rFonts w:ascii="Times New Roman" w:hAnsi="Times New Roman"/>
          <w:sz w:val="28"/>
          <w:szCs w:val="28"/>
        </w:rPr>
        <w:t>er</w:t>
      </w:r>
      <w:r w:rsidRPr="00532D1A">
        <w:rPr>
          <w:rFonts w:ascii="Times New Roman" w:hAnsi="Times New Roman"/>
          <w:sz w:val="28"/>
          <w:szCs w:val="28"/>
        </w:rPr>
        <w:t xml:space="preserve"> vorherrschende</w:t>
      </w:r>
      <w:r w:rsidR="00D24CF2" w:rsidRPr="00532D1A">
        <w:rPr>
          <w:rFonts w:ascii="Times New Roman" w:hAnsi="Times New Roman"/>
          <w:sz w:val="28"/>
          <w:szCs w:val="28"/>
        </w:rPr>
        <w:t xml:space="preserve"> Zeitgeist die Entstehung von totalitären Massenpsychosen wie in der Corona Pandemie massiv begünstige – die bekannte Taktik, hinter der Struktur (dem Zeitgeist) die Interessen (der Regisseure der Inszenierung) verschwinden zu lassen.</w:t>
      </w:r>
    </w:p>
    <w:p w14:paraId="3DB3A111" w14:textId="4842A221" w:rsidR="00EB4A1C" w:rsidRPr="00532D1A" w:rsidRDefault="00D24CF2" w:rsidP="006B3C54">
      <w:pPr>
        <w:spacing w:line="276" w:lineRule="auto"/>
        <w:rPr>
          <w:rFonts w:ascii="Times New Roman" w:hAnsi="Times New Roman"/>
          <w:sz w:val="28"/>
          <w:szCs w:val="28"/>
        </w:rPr>
      </w:pPr>
      <w:r w:rsidRPr="00532D1A">
        <w:rPr>
          <w:rFonts w:ascii="Times New Roman" w:hAnsi="Times New Roman"/>
          <w:sz w:val="28"/>
          <w:szCs w:val="28"/>
        </w:rPr>
        <w:t xml:space="preserve">Dagegen hatte Alexander Mitscherlich bereits 1963 in der „vaterlosen Gesellschaft“ einen psychoanalytischen Erklärungsansatz vorgestellt, ausgehend von einer Dialektik zwischen Triebkräften und </w:t>
      </w:r>
      <w:r w:rsidR="000E6CAB" w:rsidRPr="00532D1A">
        <w:rPr>
          <w:rFonts w:ascii="Times New Roman" w:hAnsi="Times New Roman"/>
          <w:sz w:val="28"/>
          <w:szCs w:val="28"/>
        </w:rPr>
        <w:t>I</w:t>
      </w:r>
      <w:r w:rsidRPr="00532D1A">
        <w:rPr>
          <w:rFonts w:ascii="Times New Roman" w:hAnsi="Times New Roman"/>
          <w:sz w:val="28"/>
          <w:szCs w:val="28"/>
        </w:rPr>
        <w:t>ch</w:t>
      </w:r>
      <w:r w:rsidR="000E6CAB" w:rsidRPr="00532D1A">
        <w:rPr>
          <w:rFonts w:ascii="Times New Roman" w:hAnsi="Times New Roman"/>
          <w:sz w:val="28"/>
          <w:szCs w:val="28"/>
        </w:rPr>
        <w:t>k</w:t>
      </w:r>
      <w:r w:rsidRPr="00532D1A">
        <w:rPr>
          <w:rFonts w:ascii="Times New Roman" w:hAnsi="Times New Roman"/>
          <w:sz w:val="28"/>
          <w:szCs w:val="28"/>
        </w:rPr>
        <w:t>räften, die ermöglichte zu erklären, dass selbst noch bei primitiven Ich-Leistungen ein Mensch sozial unauffällig „funktionieren“ kann.</w:t>
      </w:r>
    </w:p>
    <w:p w14:paraId="37A79818" w14:textId="6DA8AFA2" w:rsidR="00D24CF2" w:rsidRPr="00532D1A" w:rsidRDefault="00D24CF2" w:rsidP="006B3C54">
      <w:pPr>
        <w:spacing w:line="276" w:lineRule="auto"/>
        <w:rPr>
          <w:rFonts w:ascii="Times New Roman" w:hAnsi="Times New Roman"/>
          <w:sz w:val="28"/>
          <w:szCs w:val="28"/>
        </w:rPr>
      </w:pPr>
      <w:r w:rsidRPr="00532D1A">
        <w:rPr>
          <w:rFonts w:ascii="Times New Roman" w:hAnsi="Times New Roman"/>
          <w:sz w:val="28"/>
          <w:szCs w:val="28"/>
        </w:rPr>
        <w:t xml:space="preserve">Jedoch seien in manchen Augenblicken des Weltgeschehens Kulturen nicht in der Lage, schwache Ichkräfte zu kompensieren. Dann sei die Versuchung unwiderstehlich, Mitläufer zu sein oder zu werden. Der drohende Verlust des Gruppenkontaktes sei ein erschreckendes Erlebnis und löste panische Angst und </w:t>
      </w:r>
      <w:r w:rsidRPr="00532D1A">
        <w:rPr>
          <w:rFonts w:ascii="Times New Roman" w:hAnsi="Times New Roman"/>
          <w:sz w:val="28"/>
          <w:szCs w:val="28"/>
        </w:rPr>
        <w:lastRenderedPageBreak/>
        <w:t>jede erdenkliche Anstrengung aus, die Übereinstimmung mit der Gruppe wiederzufinden – nur nicht die zu einer besonderen Kontrolle der Lage.</w:t>
      </w:r>
    </w:p>
    <w:p w14:paraId="0785FF34" w14:textId="151B4B54" w:rsidR="00340AA2" w:rsidRPr="00532D1A" w:rsidRDefault="00D24CF2" w:rsidP="006B3C54">
      <w:pPr>
        <w:spacing w:line="276" w:lineRule="auto"/>
        <w:rPr>
          <w:rFonts w:ascii="Times New Roman" w:hAnsi="Times New Roman"/>
          <w:sz w:val="28"/>
          <w:szCs w:val="28"/>
        </w:rPr>
      </w:pPr>
      <w:r w:rsidRPr="00532D1A">
        <w:rPr>
          <w:rFonts w:ascii="Times New Roman" w:hAnsi="Times New Roman"/>
          <w:sz w:val="28"/>
          <w:szCs w:val="28"/>
        </w:rPr>
        <w:t xml:space="preserve">Allerdings nehme – anders als </w:t>
      </w:r>
      <w:r w:rsidR="00FF20FE" w:rsidRPr="00532D1A">
        <w:rPr>
          <w:rFonts w:ascii="Times New Roman" w:hAnsi="Times New Roman"/>
          <w:sz w:val="28"/>
          <w:szCs w:val="28"/>
        </w:rPr>
        <w:t xml:space="preserve">bei </w:t>
      </w:r>
      <w:proofErr w:type="spellStart"/>
      <w:r w:rsidRPr="00532D1A">
        <w:rPr>
          <w:rFonts w:ascii="Times New Roman" w:hAnsi="Times New Roman"/>
          <w:sz w:val="28"/>
          <w:szCs w:val="28"/>
        </w:rPr>
        <w:t>Desmet</w:t>
      </w:r>
      <w:proofErr w:type="spellEnd"/>
      <w:r w:rsidRPr="00532D1A">
        <w:rPr>
          <w:rFonts w:ascii="Times New Roman" w:hAnsi="Times New Roman"/>
          <w:sz w:val="28"/>
          <w:szCs w:val="28"/>
        </w:rPr>
        <w:t xml:space="preserve"> darstellt – die „Desintegration der schwachen </w:t>
      </w:r>
      <w:r w:rsidR="00FF20FE" w:rsidRPr="00532D1A">
        <w:rPr>
          <w:rFonts w:ascii="Times New Roman" w:hAnsi="Times New Roman"/>
          <w:sz w:val="28"/>
          <w:szCs w:val="28"/>
        </w:rPr>
        <w:t>I</w:t>
      </w:r>
      <w:r w:rsidRPr="00532D1A">
        <w:rPr>
          <w:rFonts w:ascii="Times New Roman" w:hAnsi="Times New Roman"/>
          <w:sz w:val="28"/>
          <w:szCs w:val="28"/>
        </w:rPr>
        <w:t>ch</w:t>
      </w:r>
      <w:r w:rsidR="00FF20FE" w:rsidRPr="00532D1A">
        <w:rPr>
          <w:rFonts w:ascii="Times New Roman" w:hAnsi="Times New Roman"/>
          <w:sz w:val="28"/>
          <w:szCs w:val="28"/>
        </w:rPr>
        <w:t>-</w:t>
      </w:r>
      <w:r w:rsidRPr="00532D1A">
        <w:rPr>
          <w:rFonts w:ascii="Times New Roman" w:hAnsi="Times New Roman"/>
          <w:sz w:val="28"/>
          <w:szCs w:val="28"/>
        </w:rPr>
        <w:t xml:space="preserve">Leistungen in der großen Menge erst dann ihren Lauf, wenn sie sich in den politisch entscheidenden Gruppen vorher vollzogen habe. Aber auch in Mitscherlichs fehlt – ebenso wie bei </w:t>
      </w:r>
      <w:proofErr w:type="spellStart"/>
      <w:r w:rsidRPr="00532D1A">
        <w:rPr>
          <w:rFonts w:ascii="Times New Roman" w:hAnsi="Times New Roman"/>
          <w:sz w:val="28"/>
          <w:szCs w:val="28"/>
        </w:rPr>
        <w:t>Desmet</w:t>
      </w:r>
      <w:proofErr w:type="spellEnd"/>
      <w:r w:rsidRPr="00532D1A">
        <w:rPr>
          <w:rFonts w:ascii="Times New Roman" w:hAnsi="Times New Roman"/>
          <w:sz w:val="28"/>
          <w:szCs w:val="28"/>
        </w:rPr>
        <w:t xml:space="preserve"> – die Vermittlung zwischen „politisch entscheidenden Gruppen“ und Massen. Psychologen neigen dazu, in ihren Erklärungsversuchen gesellschaftlicher Phänomene diese Vermittlung durch Gleichsetzung von individueller und Massenpsychologie zu eskamotieren. Diese Vermittlung geschieht durch den Diskurs der Macht, dessen </w:t>
      </w:r>
      <w:proofErr w:type="spellStart"/>
      <w:r w:rsidRPr="00532D1A">
        <w:rPr>
          <w:rFonts w:ascii="Times New Roman" w:hAnsi="Times New Roman"/>
          <w:sz w:val="28"/>
          <w:szCs w:val="28"/>
        </w:rPr>
        <w:t>Produktions</w:t>
      </w:r>
      <w:proofErr w:type="spellEnd"/>
      <w:r w:rsidRPr="00532D1A">
        <w:rPr>
          <w:rFonts w:ascii="Times New Roman" w:hAnsi="Times New Roman"/>
          <w:sz w:val="28"/>
          <w:szCs w:val="28"/>
        </w:rPr>
        <w:t xml:space="preserve"> – und Distributionsstä</w:t>
      </w:r>
      <w:r w:rsidR="00FF20FE" w:rsidRPr="00532D1A">
        <w:rPr>
          <w:rFonts w:ascii="Times New Roman" w:hAnsi="Times New Roman"/>
          <w:sz w:val="28"/>
          <w:szCs w:val="28"/>
        </w:rPr>
        <w:t>t</w:t>
      </w:r>
      <w:r w:rsidRPr="00532D1A">
        <w:rPr>
          <w:rFonts w:ascii="Times New Roman" w:hAnsi="Times New Roman"/>
          <w:sz w:val="28"/>
          <w:szCs w:val="28"/>
        </w:rPr>
        <w:t>ten in unserer Gesellschaft die Medien sind.</w:t>
      </w:r>
    </w:p>
    <w:p w14:paraId="1342DE9E" w14:textId="7B63AD6B" w:rsidR="00340AA2" w:rsidRPr="00532D1A" w:rsidRDefault="00340AA2" w:rsidP="006B3C54">
      <w:pPr>
        <w:spacing w:line="276" w:lineRule="auto"/>
        <w:rPr>
          <w:rFonts w:ascii="Times New Roman" w:hAnsi="Times New Roman"/>
          <w:b/>
          <w:bCs/>
          <w:sz w:val="28"/>
          <w:szCs w:val="28"/>
        </w:rPr>
      </w:pPr>
      <w:r w:rsidRPr="00532D1A">
        <w:rPr>
          <w:rFonts w:ascii="Times New Roman" w:hAnsi="Times New Roman"/>
          <w:b/>
          <w:bCs/>
          <w:sz w:val="28"/>
          <w:szCs w:val="28"/>
        </w:rPr>
        <w:t>Loyalität</w:t>
      </w:r>
    </w:p>
    <w:p w14:paraId="3FD6E3E6" w14:textId="3A9C24F7" w:rsidR="00F86FEA" w:rsidRPr="00532D1A" w:rsidRDefault="00F86FEA" w:rsidP="006B3C54">
      <w:pPr>
        <w:spacing w:line="276" w:lineRule="auto"/>
        <w:rPr>
          <w:rFonts w:ascii="Times New Roman" w:hAnsi="Times New Roman"/>
          <w:sz w:val="28"/>
          <w:szCs w:val="28"/>
        </w:rPr>
      </w:pPr>
      <w:r w:rsidRPr="00532D1A">
        <w:rPr>
          <w:rFonts w:ascii="Times New Roman" w:hAnsi="Times New Roman"/>
          <w:sz w:val="28"/>
          <w:szCs w:val="28"/>
        </w:rPr>
        <w:t>Wie ist es möglich, dass wir übernehmen, was andere meinen, uns als unsere Meinung zu eigen machen? Und zwar nicht die Meinung unsere besten Freunde, oder uns Nahestehender, von denen wir wissen, dass sie die Ratschläge, die Sie uns geben, auch selber befolgen – nein, wir übernehmen die Meinung uns persönlich völlig fremder Menschen, die wir allenfalls aus dem Fernsehen kennen, deren tatsächliches Handeln wir niemals überprüfen könnten, der sogar wenn wir die Erfahrung gemacht haben, dass sie sich an das, was sie versprochen haben zu tun, nachdem wir sie in ihre Positionen gewählt hatten, nicht mehr erinnern.</w:t>
      </w:r>
    </w:p>
    <w:p w14:paraId="0732154D" w14:textId="77777777" w:rsidR="00F86FEA" w:rsidRPr="00532D1A" w:rsidRDefault="00F86FEA" w:rsidP="006B3C54">
      <w:pPr>
        <w:spacing w:line="276" w:lineRule="auto"/>
        <w:rPr>
          <w:rFonts w:ascii="Times New Roman" w:hAnsi="Times New Roman"/>
          <w:sz w:val="28"/>
          <w:szCs w:val="28"/>
        </w:rPr>
      </w:pPr>
      <w:r w:rsidRPr="00532D1A">
        <w:rPr>
          <w:rFonts w:ascii="Times New Roman" w:hAnsi="Times New Roman"/>
          <w:sz w:val="28"/>
          <w:szCs w:val="28"/>
        </w:rPr>
        <w:t>Das ist nicht Angst vor einer behaupteten Gefahr, vor der Ansteckung durch einen gefährlichen Virus, nein das ist Vertrauen denen, die uns Angst machen, und wenn es nicht Vertrauen ist, dass sich in einer Beziehung aus der Erfahrung gebildet hat, dass wir immer gut gefahren sind mit den Ratschlägen Mitteilung, die wir von diesem anderen bekommen haben, wenn wir sogar aller schlechten Erfahrung zum Trotz dem anderen „vertrauen“, seine Meinung übernehmen, dann ist es „Loyalität“ (Brückner 1972)</w:t>
      </w:r>
    </w:p>
    <w:p w14:paraId="424CE316" w14:textId="72B8EEC9" w:rsidR="00F86FEA" w:rsidRPr="00532D1A" w:rsidRDefault="00340AA2" w:rsidP="006B3C54">
      <w:pPr>
        <w:spacing w:line="276" w:lineRule="auto"/>
        <w:rPr>
          <w:rFonts w:ascii="Times New Roman" w:hAnsi="Times New Roman"/>
          <w:sz w:val="28"/>
          <w:szCs w:val="28"/>
        </w:rPr>
      </w:pPr>
      <w:r w:rsidRPr="00532D1A">
        <w:rPr>
          <w:rFonts w:ascii="Times New Roman" w:hAnsi="Times New Roman"/>
          <w:sz w:val="28"/>
          <w:szCs w:val="28"/>
        </w:rPr>
        <w:t xml:space="preserve">Loyalität </w:t>
      </w:r>
      <w:r w:rsidR="00F86FEA" w:rsidRPr="00532D1A">
        <w:rPr>
          <w:rFonts w:ascii="Times New Roman" w:hAnsi="Times New Roman"/>
          <w:sz w:val="28"/>
          <w:szCs w:val="28"/>
        </w:rPr>
        <w:t>den „Oberen“ gegenüber, dass es schon „seine Richtigkeit“ habe, was sie von uns verlangten, spielte zumindest am Anfang der „Pandemie“ eine entscheidende Rolle, dass die Bevölkerung überhaupt die „Angst „zu übernehmen und entwickeln konnte, die Herrschaft braucht, um „unliebsame“ Forderungen durchzusetzen, selbst wenn diese in Widerspruch zu den Forderungen des eigenen Gewissens stehen (Milgram 1974).</w:t>
      </w:r>
    </w:p>
    <w:p w14:paraId="2F78D532" w14:textId="5E607943" w:rsidR="00340AA2" w:rsidRPr="00532D1A" w:rsidRDefault="00340AA2" w:rsidP="006B3C54">
      <w:pPr>
        <w:spacing w:line="276" w:lineRule="auto"/>
        <w:rPr>
          <w:rFonts w:ascii="Times New Roman" w:hAnsi="Times New Roman"/>
          <w:b/>
          <w:bCs/>
          <w:sz w:val="28"/>
          <w:szCs w:val="28"/>
        </w:rPr>
      </w:pPr>
      <w:r w:rsidRPr="00532D1A">
        <w:rPr>
          <w:rFonts w:ascii="Times New Roman" w:hAnsi="Times New Roman"/>
          <w:b/>
          <w:bCs/>
          <w:sz w:val="28"/>
          <w:szCs w:val="28"/>
        </w:rPr>
        <w:t>Versagen der Intellektuellen</w:t>
      </w:r>
    </w:p>
    <w:p w14:paraId="45B39B40" w14:textId="77777777" w:rsidR="00340AA2" w:rsidRPr="00532D1A" w:rsidRDefault="00F86FEA" w:rsidP="006B3C54">
      <w:pPr>
        <w:spacing w:line="276" w:lineRule="auto"/>
        <w:rPr>
          <w:rFonts w:ascii="Times New Roman" w:hAnsi="Times New Roman"/>
          <w:sz w:val="28"/>
          <w:szCs w:val="28"/>
        </w:rPr>
      </w:pPr>
      <w:r w:rsidRPr="00532D1A">
        <w:rPr>
          <w:rFonts w:ascii="Times New Roman" w:hAnsi="Times New Roman"/>
          <w:sz w:val="28"/>
          <w:szCs w:val="28"/>
        </w:rPr>
        <w:lastRenderedPageBreak/>
        <w:t>Diese Loyalität den „Oberen“ gegenüber hätte man gern der Bevölkerung zugetraut, nicht aber denen, die vor der Inszenierung den Eindruck verbreitet hatten, „kritisch“ den Anweisungen und Forderungen der Regierung gegenüber zu stehen. Im Gegenteil, sie spielten eine zentrale Rolle bei der Akzeptierung der Anweisungen ebenso wie die Medien bei der Verbreitung der Angst. Die Medien waren sehr schnell, von einem Tag auf den anderen, zum Organ der offiziellen Verlautbarungen der Regierung geworden, dass keine anderen Stimme Raum ließ. Sie beherrschten tatsächlich, wie Jacques Derrida 1993 bereits feststellen musste, „</w:t>
      </w:r>
      <w:r w:rsidR="00756CFF" w:rsidRPr="00532D1A">
        <w:rPr>
          <w:rFonts w:ascii="Times New Roman" w:hAnsi="Times New Roman"/>
          <w:sz w:val="28"/>
          <w:szCs w:val="28"/>
        </w:rPr>
        <w:t>die Zeugenschaft im öffentlichen Raum“ (S. 90 f). Sie haben ihre Aufgabe, die sie gerne wie eine Monstranz vor sich her tragen, verfehlt: die Kritik der Regierung aus der Position der sogenannten „vierten Gewalt“ der Demokratie. Cellisten „zielten sie in jedem Augenblick auf den Punkt der größten Kraft hin, um die politisch ökonomische Hegemonie und den Kapitalismus zu sichern“.</w:t>
      </w:r>
      <w:r w:rsidR="00340AA2" w:rsidRPr="00532D1A">
        <w:rPr>
          <w:rFonts w:ascii="Times New Roman" w:hAnsi="Times New Roman"/>
          <w:sz w:val="28"/>
          <w:szCs w:val="28"/>
        </w:rPr>
        <w:t xml:space="preserve"> </w:t>
      </w:r>
    </w:p>
    <w:p w14:paraId="1F8133DC" w14:textId="77777777" w:rsidR="00FF20FE" w:rsidRPr="00532D1A" w:rsidRDefault="00FF20FE" w:rsidP="006B3C54">
      <w:pPr>
        <w:spacing w:line="276" w:lineRule="auto"/>
        <w:rPr>
          <w:rFonts w:ascii="Times New Roman" w:hAnsi="Times New Roman"/>
          <w:b/>
          <w:bCs/>
          <w:sz w:val="28"/>
          <w:szCs w:val="28"/>
        </w:rPr>
      </w:pPr>
      <w:r w:rsidRPr="00532D1A">
        <w:rPr>
          <w:rFonts w:ascii="Times New Roman" w:hAnsi="Times New Roman"/>
          <w:b/>
          <w:bCs/>
          <w:sz w:val="28"/>
          <w:szCs w:val="28"/>
        </w:rPr>
        <w:t>Der Diskurs der Macht</w:t>
      </w:r>
    </w:p>
    <w:p w14:paraId="6B808A82" w14:textId="22C09966" w:rsidR="00D24CF2" w:rsidRPr="00532D1A" w:rsidRDefault="00756CFF" w:rsidP="006B3C54">
      <w:pPr>
        <w:spacing w:line="276" w:lineRule="auto"/>
        <w:rPr>
          <w:rFonts w:ascii="Times New Roman" w:hAnsi="Times New Roman"/>
          <w:sz w:val="28"/>
          <w:szCs w:val="28"/>
        </w:rPr>
      </w:pPr>
      <w:r w:rsidRPr="00532D1A">
        <w:rPr>
          <w:rFonts w:ascii="Times New Roman" w:hAnsi="Times New Roman"/>
          <w:sz w:val="28"/>
          <w:szCs w:val="28"/>
        </w:rPr>
        <w:t>Die überwältigende Macht der Medien konnten wir in der Pandemie Inszenierung beobachten. Es ist zugleich eine Macht, der man die Macht nicht ansieht. Sie wirklich – oder nur im Grenzfall – durch Drohung, Befehl oder Vorschrift, sondern sie wirkt durch „Überzeugung“ durch Behauptung, Belehrung, durch „Zeigen“ – durch die Register des Redens und des Verschweigens, verstecken, einfach dadurch, dass man in den Diskurs einsteigt und sich gemäß seiner Regeln in diesem Diskurs bewegt (Foucault 1982, S. 255).</w:t>
      </w:r>
    </w:p>
    <w:p w14:paraId="367A5413" w14:textId="03695CFF" w:rsidR="00756CFF" w:rsidRPr="00532D1A" w:rsidRDefault="00756CFF" w:rsidP="006B3C54">
      <w:pPr>
        <w:spacing w:line="276" w:lineRule="auto"/>
        <w:rPr>
          <w:rFonts w:ascii="Times New Roman" w:hAnsi="Times New Roman"/>
          <w:sz w:val="28"/>
          <w:szCs w:val="28"/>
        </w:rPr>
      </w:pPr>
      <w:r w:rsidRPr="00532D1A">
        <w:rPr>
          <w:rFonts w:ascii="Times New Roman" w:hAnsi="Times New Roman"/>
          <w:sz w:val="28"/>
          <w:szCs w:val="28"/>
        </w:rPr>
        <w:t>Es ist tatsächlich die Macht des Diskurses und nicht die Macht eines von diesem unabhängigen „natürlichen „zu Ereignisses, wie eines Virus. Der Diskurs der Macht hat das Coronavirus okkupiert – nicht umgekehrt (Bruder 2020) der Diskurs kann eine Krise, durchaus eine ökonomische Krise erzeugen, indem er Anordnungen setzt, die die Ökonomie zum Zusammenbruch führen, wir jetzt gesehen haben.</w:t>
      </w:r>
    </w:p>
    <w:p w14:paraId="08973495" w14:textId="5517CC94" w:rsidR="00FF20FE" w:rsidRPr="00532D1A" w:rsidRDefault="00FF20FE" w:rsidP="006B3C54">
      <w:pPr>
        <w:spacing w:line="276" w:lineRule="auto"/>
        <w:rPr>
          <w:rFonts w:ascii="Times New Roman" w:hAnsi="Times New Roman"/>
          <w:b/>
          <w:bCs/>
          <w:sz w:val="28"/>
          <w:szCs w:val="28"/>
        </w:rPr>
      </w:pPr>
      <w:r w:rsidRPr="00532D1A">
        <w:rPr>
          <w:rFonts w:ascii="Times New Roman" w:hAnsi="Times New Roman"/>
          <w:b/>
          <w:bCs/>
          <w:sz w:val="28"/>
          <w:szCs w:val="28"/>
        </w:rPr>
        <w:t xml:space="preserve">In den Händen der Macht </w:t>
      </w:r>
    </w:p>
    <w:p w14:paraId="6841C5C1" w14:textId="02476916" w:rsidR="00756CFF" w:rsidRPr="00532D1A" w:rsidRDefault="00756CFF" w:rsidP="006B3C54">
      <w:pPr>
        <w:spacing w:line="276" w:lineRule="auto"/>
        <w:rPr>
          <w:rFonts w:ascii="Times New Roman" w:hAnsi="Times New Roman"/>
          <w:sz w:val="28"/>
          <w:szCs w:val="28"/>
        </w:rPr>
      </w:pPr>
      <w:r w:rsidRPr="00532D1A">
        <w:rPr>
          <w:rFonts w:ascii="Times New Roman" w:hAnsi="Times New Roman"/>
          <w:sz w:val="28"/>
          <w:szCs w:val="28"/>
        </w:rPr>
        <w:t xml:space="preserve">All das bewirkt der Diskurs allerdings nur in den Händen der Macht. Es waren die Mächtigen, die Inhaber der Machtpositionen der Gesellschaft, in Politik und Medien, die die Macht des Diskurses einsetzen konnten, um diese Wirkung zu erzielen. Der Diskurs allein in den Händen kritischer Intellektueller, „alternativer“ Medien konnte das nicht. Kein einziges Argument von dieser </w:t>
      </w:r>
      <w:r w:rsidRPr="00532D1A">
        <w:rPr>
          <w:rFonts w:ascii="Times New Roman" w:hAnsi="Times New Roman"/>
          <w:sz w:val="28"/>
          <w:szCs w:val="28"/>
        </w:rPr>
        <w:lastRenderedPageBreak/>
        <w:t>Seite, kein noch so gründlicher differenzierter Nachweis, kein noch so wissenschaftlicher Beleg konnte die Wirkung des Diskurses in den Händen der Macht brechen oder auch nur schwächen.</w:t>
      </w:r>
    </w:p>
    <w:p w14:paraId="2D7E18A6" w14:textId="77777777" w:rsidR="00756CFF" w:rsidRPr="00532D1A" w:rsidRDefault="00756CFF" w:rsidP="006B3C54">
      <w:pPr>
        <w:spacing w:line="276" w:lineRule="auto"/>
        <w:rPr>
          <w:rFonts w:ascii="Times New Roman" w:hAnsi="Times New Roman"/>
          <w:sz w:val="28"/>
          <w:szCs w:val="28"/>
        </w:rPr>
      </w:pPr>
      <w:r w:rsidRPr="00532D1A">
        <w:rPr>
          <w:rFonts w:ascii="Times New Roman" w:hAnsi="Times New Roman"/>
          <w:sz w:val="28"/>
          <w:szCs w:val="28"/>
        </w:rPr>
        <w:t>Ihre Macht gewinnen sie aber erst dadurch, dass die Masse der beherrschten die Anweisung der Herrschenden als ihre eigenen übernehmen, ihnen gemäß handeln. Damit das geschieht, muss es ihnen etwas bedeuten, bloße Wiederholung der Verkündigung genügt nicht. Sie müssen sich etwas davon versprechen, etwas, was ihnen wichtig genug ist, darauf einzugehen, eine Begründung für Ihre Übernahme.</w:t>
      </w:r>
    </w:p>
    <w:p w14:paraId="382F2BDD" w14:textId="77777777" w:rsidR="00340AA2" w:rsidRPr="00532D1A" w:rsidRDefault="00756CFF" w:rsidP="006B3C54">
      <w:pPr>
        <w:spacing w:line="276" w:lineRule="auto"/>
        <w:rPr>
          <w:rFonts w:ascii="Times New Roman" w:hAnsi="Times New Roman"/>
          <w:sz w:val="28"/>
          <w:szCs w:val="28"/>
        </w:rPr>
      </w:pPr>
      <w:r w:rsidRPr="00532D1A">
        <w:rPr>
          <w:rFonts w:ascii="Times New Roman" w:hAnsi="Times New Roman"/>
          <w:sz w:val="28"/>
          <w:szCs w:val="28"/>
        </w:rPr>
        <w:t>Diese Begründung zu liefern ist die Aufgabe des Diskurses der Macht, der damit die Zustimmung der Bevölkerung organisiert: „</w:t>
      </w:r>
      <w:proofErr w:type="spellStart"/>
      <w:r w:rsidRPr="00532D1A">
        <w:rPr>
          <w:rFonts w:ascii="Times New Roman" w:hAnsi="Times New Roman"/>
          <w:sz w:val="28"/>
          <w:szCs w:val="28"/>
        </w:rPr>
        <w:t>manufactoring</w:t>
      </w:r>
      <w:proofErr w:type="spellEnd"/>
      <w:r w:rsidRPr="00532D1A">
        <w:rPr>
          <w:rFonts w:ascii="Times New Roman" w:hAnsi="Times New Roman"/>
          <w:sz w:val="28"/>
          <w:szCs w:val="28"/>
        </w:rPr>
        <w:t xml:space="preserve"> </w:t>
      </w:r>
      <w:proofErr w:type="spellStart"/>
      <w:r w:rsidRPr="00532D1A">
        <w:rPr>
          <w:rFonts w:ascii="Times New Roman" w:hAnsi="Times New Roman"/>
          <w:sz w:val="28"/>
          <w:szCs w:val="28"/>
        </w:rPr>
        <w:t>consent</w:t>
      </w:r>
      <w:proofErr w:type="spellEnd"/>
      <w:r w:rsidRPr="00532D1A">
        <w:rPr>
          <w:rFonts w:ascii="Times New Roman" w:hAnsi="Times New Roman"/>
          <w:sz w:val="28"/>
          <w:szCs w:val="28"/>
        </w:rPr>
        <w:t>“ (Chomsky 2002). Die Begründungen müssen das Subjekt, den Adressaten des Diskurses der Macht „überzeugen“, der Diskurs der Macht muss das Subjekt berücksichtigen.</w:t>
      </w:r>
      <w:r w:rsidR="00340AA2" w:rsidRPr="00532D1A">
        <w:rPr>
          <w:rFonts w:ascii="Times New Roman" w:hAnsi="Times New Roman"/>
          <w:sz w:val="28"/>
          <w:szCs w:val="28"/>
        </w:rPr>
        <w:t xml:space="preserve"> </w:t>
      </w:r>
    </w:p>
    <w:p w14:paraId="2B7F5270" w14:textId="66243A7B" w:rsidR="00340AA2" w:rsidRPr="00532D1A" w:rsidRDefault="00340AA2" w:rsidP="006B3C54">
      <w:pPr>
        <w:spacing w:line="276" w:lineRule="auto"/>
        <w:rPr>
          <w:rFonts w:ascii="Times New Roman" w:hAnsi="Times New Roman"/>
          <w:b/>
          <w:bCs/>
          <w:sz w:val="28"/>
          <w:szCs w:val="28"/>
        </w:rPr>
      </w:pPr>
      <w:r w:rsidRPr="00532D1A">
        <w:rPr>
          <w:rFonts w:ascii="Times New Roman" w:hAnsi="Times New Roman"/>
          <w:b/>
          <w:bCs/>
          <w:sz w:val="28"/>
          <w:szCs w:val="28"/>
        </w:rPr>
        <w:t xml:space="preserve">Verstecken durch </w:t>
      </w:r>
      <w:r w:rsidR="00296A4A" w:rsidRPr="00532D1A">
        <w:rPr>
          <w:rFonts w:ascii="Times New Roman" w:hAnsi="Times New Roman"/>
          <w:b/>
          <w:bCs/>
          <w:sz w:val="28"/>
          <w:szCs w:val="28"/>
        </w:rPr>
        <w:t>Z</w:t>
      </w:r>
      <w:r w:rsidRPr="00532D1A">
        <w:rPr>
          <w:rFonts w:ascii="Times New Roman" w:hAnsi="Times New Roman"/>
          <w:b/>
          <w:bCs/>
          <w:sz w:val="28"/>
          <w:szCs w:val="28"/>
        </w:rPr>
        <w:t xml:space="preserve">eigen </w:t>
      </w:r>
    </w:p>
    <w:p w14:paraId="020C827B" w14:textId="08C5E8C4" w:rsidR="00A70B92" w:rsidRPr="00532D1A" w:rsidRDefault="00756CFF" w:rsidP="006B3C54">
      <w:pPr>
        <w:spacing w:line="276" w:lineRule="auto"/>
        <w:rPr>
          <w:rFonts w:ascii="Times New Roman" w:hAnsi="Times New Roman"/>
          <w:sz w:val="28"/>
          <w:szCs w:val="28"/>
        </w:rPr>
      </w:pPr>
      <w:r w:rsidRPr="00532D1A">
        <w:rPr>
          <w:rFonts w:ascii="Times New Roman" w:hAnsi="Times New Roman"/>
          <w:sz w:val="28"/>
          <w:szCs w:val="28"/>
        </w:rPr>
        <w:t>Die Möglichkeit dazu liegt in der Struktur der Sprache, die dem Sprechen die Möglichkeit des Ver-Sprechens</w:t>
      </w:r>
      <w:r w:rsidR="00A70B92" w:rsidRPr="00532D1A">
        <w:rPr>
          <w:rFonts w:ascii="Times New Roman" w:hAnsi="Times New Roman"/>
          <w:sz w:val="28"/>
          <w:szCs w:val="28"/>
        </w:rPr>
        <w:t>, der „Doppelzüngigkeit „zu bietet, etwas anderes zu sagen als man meint, und ohne Beziehung zum in Rede stehenden Handeln: „verstecken durch zeigen „hinzu (Bourdieu 1996). Bezeichnetes und bezeichnendes sind nicht miteinander „verlötet“, sondern gegeneinander „frei flottierend waren anfangs zeigen zu.</w:t>
      </w:r>
    </w:p>
    <w:p w14:paraId="46A5362D" w14:textId="77777777" w:rsidR="00A70B92" w:rsidRPr="00532D1A" w:rsidRDefault="00A70B92" w:rsidP="006B3C54">
      <w:pPr>
        <w:spacing w:line="276" w:lineRule="auto"/>
        <w:rPr>
          <w:rFonts w:ascii="Times New Roman" w:hAnsi="Times New Roman"/>
          <w:sz w:val="28"/>
          <w:szCs w:val="28"/>
        </w:rPr>
      </w:pPr>
      <w:r w:rsidRPr="00532D1A">
        <w:rPr>
          <w:rFonts w:ascii="Times New Roman" w:hAnsi="Times New Roman"/>
          <w:sz w:val="28"/>
          <w:szCs w:val="28"/>
        </w:rPr>
        <w:t>Durch dieses Instrument, dass ihr die Sprache zur Verfügung stellt, kann die Macht „eine Weise des Einwirkens auf Subjekte“ sein, die wirkt, indem sie „anstachelt, eingibt, ablenkt“. Nur „im Grenzfall nötigt oder verhindert sie vollständig; aber stets sofern die Subjekte handeln oder zum Handeln fähig sind. Stets bleiben die Subjekte ihrer Einwirkung als solche anerkannt“ (Foucault).</w:t>
      </w:r>
    </w:p>
    <w:p w14:paraId="04857166" w14:textId="77777777" w:rsidR="00A70B92" w:rsidRPr="00532D1A" w:rsidRDefault="00A70B92" w:rsidP="006B3C54">
      <w:pPr>
        <w:spacing w:line="276" w:lineRule="auto"/>
        <w:rPr>
          <w:rFonts w:ascii="Times New Roman" w:hAnsi="Times New Roman"/>
          <w:sz w:val="28"/>
          <w:szCs w:val="28"/>
        </w:rPr>
      </w:pPr>
      <w:r w:rsidRPr="00532D1A">
        <w:rPr>
          <w:rFonts w:ascii="Times New Roman" w:hAnsi="Times New Roman"/>
          <w:sz w:val="28"/>
          <w:szCs w:val="28"/>
        </w:rPr>
        <w:t>Dies macht die Sprache zum wirksamsten Mittel der Herrschaftsausübung – der „soften“, „smarten“ Gewalt, die das Subjekt seines Subjektcharakters nicht beraubt, das Subjekt als Subjekt anspricht, affirmiert – im Unterschied zur handfesten gewalttätigen Gewalt, Polizei oder Militär oder ökonomischer Macht.</w:t>
      </w:r>
    </w:p>
    <w:p w14:paraId="7ADFC07E" w14:textId="1CB6C0E2" w:rsidR="00756CFF" w:rsidRPr="00532D1A" w:rsidRDefault="00A70B92" w:rsidP="006B3C54">
      <w:pPr>
        <w:spacing w:line="276" w:lineRule="auto"/>
        <w:rPr>
          <w:rFonts w:ascii="Times New Roman" w:hAnsi="Times New Roman"/>
          <w:sz w:val="28"/>
          <w:szCs w:val="28"/>
        </w:rPr>
      </w:pPr>
      <w:r w:rsidRPr="00532D1A">
        <w:rPr>
          <w:rFonts w:ascii="Times New Roman" w:hAnsi="Times New Roman"/>
          <w:sz w:val="28"/>
          <w:szCs w:val="28"/>
        </w:rPr>
        <w:t xml:space="preserve">Für die Übernahme der Parolen des Diskurses der Macht ist es entscheidend, dass diese als eigene vom Subjekt ausgegeben werden, um gehorchen zu können. Wir müssen also das gehorchen verleugnen: wir tun so, als folgten wir </w:t>
      </w:r>
      <w:r w:rsidRPr="00532D1A">
        <w:rPr>
          <w:rFonts w:ascii="Times New Roman" w:hAnsi="Times New Roman"/>
          <w:sz w:val="28"/>
          <w:szCs w:val="28"/>
        </w:rPr>
        <w:lastRenderedPageBreak/>
        <w:t>dem eigenen Befehl. Darin realisiert sich das Subjekt als Herr seines eigenen Sprechens und Handelns.</w:t>
      </w:r>
    </w:p>
    <w:p w14:paraId="424E809A" w14:textId="3D95E75C" w:rsidR="00340AA2" w:rsidRPr="00532D1A" w:rsidRDefault="00340AA2" w:rsidP="006B3C54">
      <w:pPr>
        <w:spacing w:line="276" w:lineRule="auto"/>
        <w:rPr>
          <w:rFonts w:ascii="Times New Roman" w:hAnsi="Times New Roman"/>
          <w:b/>
          <w:bCs/>
          <w:sz w:val="28"/>
          <w:szCs w:val="28"/>
        </w:rPr>
      </w:pPr>
      <w:r w:rsidRPr="00532D1A">
        <w:rPr>
          <w:rFonts w:ascii="Times New Roman" w:hAnsi="Times New Roman"/>
          <w:b/>
          <w:bCs/>
          <w:sz w:val="28"/>
          <w:szCs w:val="28"/>
        </w:rPr>
        <w:t>Die Verkehrung</w:t>
      </w:r>
    </w:p>
    <w:p w14:paraId="0547D4FC" w14:textId="717F78E9" w:rsidR="00756CFF" w:rsidRPr="00532D1A" w:rsidRDefault="00A70B92" w:rsidP="006B3C54">
      <w:pPr>
        <w:spacing w:line="276" w:lineRule="auto"/>
        <w:rPr>
          <w:rFonts w:ascii="Times New Roman" w:hAnsi="Times New Roman"/>
          <w:sz w:val="28"/>
          <w:szCs w:val="28"/>
        </w:rPr>
      </w:pPr>
      <w:r w:rsidRPr="00532D1A">
        <w:rPr>
          <w:rFonts w:ascii="Times New Roman" w:hAnsi="Times New Roman"/>
          <w:sz w:val="28"/>
          <w:szCs w:val="28"/>
        </w:rPr>
        <w:t>Die bereits im Gespräch zwischen zweien mögliche Differenz zwischen Versprechen und Erfüllung wird im Diskurs der Macht zum Gegensatz gesteigert, zur Verkehrung ins Gegenteil: Verkehrung von Krieg und Frieden, Verkehrung von Ursache und Wirkung, Aktion und Reaktion. Beispiele: die Bezeichnungen „Sicherheitskonferenz“, „Verteidigungsministerium“, „Innere Sicherheit“, Verantwortung für „Deutschland“ usw. im Fall der Corona-„Krise“ erreichte diese Verkehrung ihren bisher schwindelerregenden Höhepunkt: die zum Schutz der Bevölkerung erklärten Maßnahmen bedeuteten die Außerkraftsetzung der Grundrechte der Bürger. Der Vergleich mit George Orwells 1984 drängte sich auf: der Hexensabbat von „Krieg ist Frieden, Freiheit ist Sklaverei, Unwissenheit ist Stärke“ – die Verkehrung aller Begriffe in ihr Gegenteil. „Zu ihrem Schutz“ wurde die Anordnung begründet, ältere Menschen abzusondern. Aus „Solidarität“ wurde die fraglose Übernahme der Parolen, der Ansagen der Regierung – die „Volksgemeinschaft“ war nicht weit entfernt. „Verantwortungslos“ wurde nun genannt, wer sich nicht bedingungslos „gleich schaltete“.</w:t>
      </w:r>
    </w:p>
    <w:p w14:paraId="3F40C1AE" w14:textId="3B75C85F" w:rsidR="00843B82" w:rsidRPr="00532D1A" w:rsidRDefault="00843B82" w:rsidP="006B3C54">
      <w:pPr>
        <w:spacing w:line="276" w:lineRule="auto"/>
        <w:rPr>
          <w:rFonts w:ascii="Times New Roman" w:hAnsi="Times New Roman"/>
          <w:sz w:val="28"/>
          <w:szCs w:val="28"/>
        </w:rPr>
      </w:pPr>
      <w:r w:rsidRPr="00532D1A">
        <w:rPr>
          <w:rFonts w:ascii="Times New Roman" w:hAnsi="Times New Roman"/>
          <w:sz w:val="28"/>
          <w:szCs w:val="28"/>
        </w:rPr>
        <w:t xml:space="preserve">Auch wenn diese </w:t>
      </w:r>
      <w:proofErr w:type="spellStart"/>
      <w:r w:rsidRPr="00532D1A">
        <w:rPr>
          <w:rFonts w:ascii="Times New Roman" w:hAnsi="Times New Roman"/>
          <w:sz w:val="28"/>
          <w:szCs w:val="28"/>
        </w:rPr>
        <w:t>Verkehrungen</w:t>
      </w:r>
      <w:proofErr w:type="spellEnd"/>
      <w:r w:rsidRPr="00532D1A">
        <w:rPr>
          <w:rFonts w:ascii="Times New Roman" w:hAnsi="Times New Roman"/>
          <w:sz w:val="28"/>
          <w:szCs w:val="28"/>
        </w:rPr>
        <w:t xml:space="preserve"> an Menschenverachtung grenzten, grundlegende Selbstverständlichkeiten ethischer Gebote, ja des menschlichen Wesens schlechthin missachteten so</w:t>
      </w:r>
      <w:r w:rsidR="00340AA2" w:rsidRPr="00532D1A">
        <w:rPr>
          <w:rFonts w:ascii="Times New Roman" w:hAnsi="Times New Roman"/>
          <w:sz w:val="28"/>
          <w:szCs w:val="28"/>
        </w:rPr>
        <w:t xml:space="preserve"> </w:t>
      </w:r>
      <w:r w:rsidRPr="00532D1A">
        <w:rPr>
          <w:rFonts w:ascii="Times New Roman" w:hAnsi="Times New Roman"/>
          <w:sz w:val="28"/>
          <w:szCs w:val="28"/>
        </w:rPr>
        <w:t xml:space="preserve">das Kontaktverbot, das den Großeltern den Kontakt mit den Enkeln verbot, von der praktisch vollständigen Schließung der Restaurants, Cafés, und Freizeiteinrichtungen oder dem Verbot öffentlicher Treffen und Demonstrationen ganz zu schweigen, wurden sie mit einer nicht empirisch belegten „erhöhten Ansteckungsgefahr“ begründet, selbst wenn diese von Experten, die nicht zu den Regierungsberatern </w:t>
      </w:r>
      <w:proofErr w:type="spellStart"/>
      <w:r w:rsidRPr="00532D1A">
        <w:rPr>
          <w:rFonts w:ascii="Times New Roman" w:hAnsi="Times New Roman"/>
          <w:sz w:val="28"/>
          <w:szCs w:val="28"/>
        </w:rPr>
        <w:t>i.w.S</w:t>
      </w:r>
      <w:proofErr w:type="spellEnd"/>
      <w:r w:rsidRPr="00532D1A">
        <w:rPr>
          <w:rFonts w:ascii="Times New Roman" w:hAnsi="Times New Roman"/>
          <w:sz w:val="28"/>
          <w:szCs w:val="28"/>
        </w:rPr>
        <w:t>. zählten, bestritten worden war.</w:t>
      </w:r>
    </w:p>
    <w:p w14:paraId="3094BC7B" w14:textId="65B9581D" w:rsidR="00340AA2" w:rsidRPr="00532D1A" w:rsidRDefault="00340AA2" w:rsidP="006B3C54">
      <w:pPr>
        <w:spacing w:line="276" w:lineRule="auto"/>
        <w:rPr>
          <w:rFonts w:ascii="Times New Roman" w:hAnsi="Times New Roman"/>
          <w:b/>
          <w:bCs/>
          <w:sz w:val="28"/>
          <w:szCs w:val="28"/>
        </w:rPr>
      </w:pPr>
      <w:r w:rsidRPr="00532D1A">
        <w:rPr>
          <w:rFonts w:ascii="Times New Roman" w:hAnsi="Times New Roman"/>
          <w:b/>
          <w:bCs/>
          <w:sz w:val="28"/>
          <w:szCs w:val="28"/>
        </w:rPr>
        <w:t>Das Unbewusste</w:t>
      </w:r>
    </w:p>
    <w:p w14:paraId="18EE0E27" w14:textId="1A69E61F" w:rsidR="00671068" w:rsidRPr="00532D1A" w:rsidRDefault="0049407F" w:rsidP="006B3C54">
      <w:pPr>
        <w:spacing w:line="276" w:lineRule="auto"/>
        <w:rPr>
          <w:rFonts w:ascii="Times New Roman" w:hAnsi="Times New Roman"/>
          <w:sz w:val="28"/>
          <w:szCs w:val="28"/>
        </w:rPr>
      </w:pPr>
      <w:r w:rsidRPr="00532D1A">
        <w:rPr>
          <w:rFonts w:ascii="Times New Roman" w:hAnsi="Times New Roman"/>
          <w:sz w:val="28"/>
          <w:szCs w:val="28"/>
        </w:rPr>
        <w:t xml:space="preserve">Wie war so etwas möglich? Entpuppten sich die „grundlegenden Selbstverständlichkeiten ethischer Gebote“ als der bloße </w:t>
      </w:r>
      <w:r w:rsidR="00F97992" w:rsidRPr="00532D1A">
        <w:rPr>
          <w:rFonts w:ascii="Times New Roman" w:hAnsi="Times New Roman"/>
          <w:sz w:val="28"/>
          <w:szCs w:val="28"/>
        </w:rPr>
        <w:t>Firnis</w:t>
      </w:r>
      <w:r w:rsidRPr="00532D1A">
        <w:rPr>
          <w:rFonts w:ascii="Times New Roman" w:hAnsi="Times New Roman"/>
          <w:sz w:val="28"/>
          <w:szCs w:val="28"/>
        </w:rPr>
        <w:t xml:space="preserve">, von dem Freud </w:t>
      </w:r>
      <w:r w:rsidR="00F97992" w:rsidRPr="00532D1A">
        <w:rPr>
          <w:rFonts w:ascii="Times New Roman" w:hAnsi="Times New Roman"/>
          <w:sz w:val="28"/>
          <w:szCs w:val="28"/>
        </w:rPr>
        <w:t xml:space="preserve">(1933) </w:t>
      </w:r>
      <w:r w:rsidRPr="00532D1A">
        <w:rPr>
          <w:rFonts w:ascii="Times New Roman" w:hAnsi="Times New Roman"/>
          <w:sz w:val="28"/>
          <w:szCs w:val="28"/>
        </w:rPr>
        <w:t>angesichts des ersten Weltkrieges festgestellt zu haben geglaubt hatte, S vom Durchbruch der und zivilisierten Triebe hinweggefegt worden? Nein, was sich zeigte waren nicht die und zivilisierten Triebe, sondern das „unbewusste“ des „</w:t>
      </w:r>
      <w:proofErr w:type="spellStart"/>
      <w:r w:rsidRPr="00532D1A">
        <w:rPr>
          <w:rFonts w:ascii="Times New Roman" w:hAnsi="Times New Roman"/>
          <w:sz w:val="28"/>
          <w:szCs w:val="28"/>
        </w:rPr>
        <w:t>verinnerten</w:t>
      </w:r>
      <w:proofErr w:type="spellEnd"/>
      <w:r w:rsidRPr="00532D1A">
        <w:rPr>
          <w:rFonts w:ascii="Times New Roman" w:hAnsi="Times New Roman"/>
          <w:sz w:val="28"/>
          <w:szCs w:val="28"/>
        </w:rPr>
        <w:t xml:space="preserve"> Staats“ (Brückner</w:t>
      </w:r>
      <w:r w:rsidR="00BC12C9" w:rsidRPr="00532D1A">
        <w:rPr>
          <w:rFonts w:ascii="Times New Roman" w:hAnsi="Times New Roman"/>
          <w:sz w:val="28"/>
          <w:szCs w:val="28"/>
        </w:rPr>
        <w:t xml:space="preserve"> 1978</w:t>
      </w:r>
      <w:r w:rsidRPr="00532D1A">
        <w:rPr>
          <w:rFonts w:ascii="Times New Roman" w:hAnsi="Times New Roman"/>
          <w:sz w:val="28"/>
          <w:szCs w:val="28"/>
        </w:rPr>
        <w:t>), die Wirkung des Diskurses der Macht</w:t>
      </w:r>
    </w:p>
    <w:p w14:paraId="3BC5F2E6" w14:textId="12763A31" w:rsidR="0049407F" w:rsidRPr="00532D1A" w:rsidRDefault="003A0A01" w:rsidP="006B3C54">
      <w:pPr>
        <w:spacing w:after="240" w:line="276" w:lineRule="auto"/>
        <w:rPr>
          <w:rFonts w:ascii="Times New Roman" w:hAnsi="Times New Roman"/>
          <w:sz w:val="28"/>
          <w:szCs w:val="28"/>
        </w:rPr>
      </w:pPr>
      <w:r w:rsidRPr="00532D1A">
        <w:rPr>
          <w:rFonts w:ascii="Times New Roman" w:hAnsi="Times New Roman"/>
          <w:sz w:val="28"/>
          <w:szCs w:val="28"/>
        </w:rPr>
        <w:lastRenderedPageBreak/>
        <w:t xml:space="preserve">Was war das? Ein großes Experiment </w:t>
      </w:r>
      <w:r w:rsidR="0049407F" w:rsidRPr="00532D1A">
        <w:rPr>
          <w:rFonts w:ascii="Times New Roman" w:hAnsi="Times New Roman"/>
          <w:sz w:val="28"/>
          <w:szCs w:val="28"/>
        </w:rPr>
        <w:t xml:space="preserve">über die Wirkungsweise des Diskurses der Macht: </w:t>
      </w:r>
      <w:r w:rsidRPr="00532D1A">
        <w:rPr>
          <w:rFonts w:ascii="Times New Roman" w:hAnsi="Times New Roman"/>
          <w:sz w:val="28"/>
          <w:szCs w:val="28"/>
        </w:rPr>
        <w:t>Eine arglose, nichts ahnende Bevölkerung wird ohne jede Vorbereitung „über Nacht“ dazu gebracht, alles zu vergessen, was ihr bisher wichtig gewesen war: alle Ziele, alle Bewegungen, alle Geschäfte, alle Kontakte - sozusagen wie durch einen „</w:t>
      </w:r>
      <w:r w:rsidRPr="00532D1A">
        <w:rPr>
          <w:rFonts w:ascii="Times New Roman" w:eastAsia="Times New Roman" w:hAnsi="Times New Roman"/>
          <w:sz w:val="28"/>
          <w:szCs w:val="28"/>
        </w:rPr>
        <w:t xml:space="preserve">Blitzkrieg“, an dessen Morgen sie sich die Augen reiben: so schnell war die „Schwarze Null“ noch nicht vergessen, wie im atemberaubenden Auflegen der Finanz-Rettungspakete das Etappenziel gesichert worden war und Unterwerfung nur noch als Übersprungshandlung offen stand: </w:t>
      </w:r>
      <w:r w:rsidRPr="00532D1A">
        <w:rPr>
          <w:rFonts w:ascii="Times New Roman" w:hAnsi="Times New Roman"/>
          <w:sz w:val="28"/>
          <w:szCs w:val="28"/>
        </w:rPr>
        <w:t xml:space="preserve">als das Annehmen neuer Regeln des (Nicht-)Kontakts: den anderen nicht zu nahe an sich heranzulassen, ja ihn zurückzuweisen, wenn er mir zu nahe kommt, überhaupt misstrauisch gegen jeden, die bisherigen Regeln lauthals zu sanktionieren, z.B. bisher übliche Einkaufgewohnheiten als „Hamsterkauf“ zu diffamieren, das  nicht sofort einwilligende Denken zum Feind zu erklären. </w:t>
      </w:r>
    </w:p>
    <w:p w14:paraId="7BBAE9FA" w14:textId="6BA2174B" w:rsidR="00340AA2" w:rsidRPr="00532D1A" w:rsidRDefault="00340AA2" w:rsidP="006B3C54">
      <w:pPr>
        <w:spacing w:after="240" w:line="276" w:lineRule="auto"/>
        <w:rPr>
          <w:rFonts w:ascii="Times New Roman" w:hAnsi="Times New Roman"/>
          <w:b/>
          <w:bCs/>
          <w:sz w:val="28"/>
          <w:szCs w:val="28"/>
        </w:rPr>
      </w:pPr>
      <w:r w:rsidRPr="00532D1A">
        <w:rPr>
          <w:rFonts w:ascii="Times New Roman" w:hAnsi="Times New Roman"/>
          <w:b/>
          <w:bCs/>
          <w:sz w:val="28"/>
          <w:szCs w:val="28"/>
        </w:rPr>
        <w:t>Nachträglichkeit</w:t>
      </w:r>
    </w:p>
    <w:p w14:paraId="6E16E645" w14:textId="236700A9" w:rsidR="00273C4E" w:rsidRPr="00532D1A" w:rsidRDefault="00273C4E" w:rsidP="006B3C54">
      <w:pPr>
        <w:spacing w:after="240" w:line="276" w:lineRule="auto"/>
        <w:rPr>
          <w:rFonts w:ascii="Times New Roman" w:hAnsi="Times New Roman"/>
          <w:sz w:val="28"/>
          <w:szCs w:val="28"/>
        </w:rPr>
      </w:pPr>
      <w:r w:rsidRPr="00532D1A">
        <w:rPr>
          <w:rFonts w:ascii="Times New Roman" w:hAnsi="Times New Roman"/>
          <w:sz w:val="28"/>
          <w:szCs w:val="28"/>
        </w:rPr>
        <w:t>Und dieses Experiment zeigt uns, dass der Diskurs der Macht sich nicht nur auf der Ebene des Sprechens bewegt, der Ebene der Des-Information durch die Medien, sondern gleichzeitig auch die Handlungsebene einbezieht, die in den meisten Fällen der Wahrnehmung, dem Bewusstsein – der Bevölkerung – entzogenen ist, „unbewusst gemacht“ (</w:t>
      </w:r>
      <w:proofErr w:type="spellStart"/>
      <w:r w:rsidRPr="00532D1A">
        <w:rPr>
          <w:rFonts w:ascii="Times New Roman" w:hAnsi="Times New Roman"/>
          <w:sz w:val="28"/>
          <w:szCs w:val="28"/>
        </w:rPr>
        <w:t>Erdheim</w:t>
      </w:r>
      <w:proofErr w:type="spellEnd"/>
      <w:r w:rsidRPr="00532D1A">
        <w:rPr>
          <w:rFonts w:ascii="Times New Roman" w:hAnsi="Times New Roman"/>
          <w:sz w:val="28"/>
          <w:szCs w:val="28"/>
        </w:rPr>
        <w:t xml:space="preserve"> 1982): die Maßnahmen, die zur Abwendung der behaupteten Gefahr der Bevölkerung aufgezwungen worden waren, hatten die Funktion, die Behauptungen über die Gefährlichkeit des Virus zu „beweisen“: Je mehr die Maßnahmen verschärft wurden, umso mehr stieg das Gefühl des </w:t>
      </w:r>
      <w:proofErr w:type="spellStart"/>
      <w:r w:rsidRPr="00532D1A">
        <w:rPr>
          <w:rFonts w:ascii="Times New Roman" w:hAnsi="Times New Roman"/>
          <w:sz w:val="28"/>
          <w:szCs w:val="28"/>
        </w:rPr>
        <w:t>Bedrohtseins</w:t>
      </w:r>
      <w:proofErr w:type="spellEnd"/>
      <w:r w:rsidRPr="00532D1A">
        <w:rPr>
          <w:rFonts w:ascii="Times New Roman" w:hAnsi="Times New Roman"/>
          <w:sz w:val="28"/>
          <w:szCs w:val="28"/>
        </w:rPr>
        <w:t xml:space="preserve"> durch das Virus, sollten sie doch dem Schutz vor diesem dienen. Dieses Gefühl aufrechtzuerhalten, ständig daran zu erinnern, ist die Funktion der Mund- und Nasenmaske. Dasselbe galt auch für die Taktik, die Maßnahmen immer wieder zu verlängern und nur „in kleinen Schritten“ (Merkel) abzubauen ebenso wie die gleichzeitige Erklärung der nicht mehr zu verheimlichenden Tatsache, dass die vorausgesagten Zahlen nicht erreicht werden mit dem „Erfolg der Maßnahmen“ (</w:t>
      </w:r>
      <w:proofErr w:type="spellStart"/>
      <w:r w:rsidRPr="00532D1A">
        <w:rPr>
          <w:rFonts w:ascii="Times New Roman" w:hAnsi="Times New Roman"/>
          <w:sz w:val="28"/>
          <w:szCs w:val="28"/>
        </w:rPr>
        <w:t>Wollbold</w:t>
      </w:r>
      <w:proofErr w:type="spellEnd"/>
      <w:r w:rsidRPr="00532D1A">
        <w:rPr>
          <w:rFonts w:ascii="Times New Roman" w:hAnsi="Times New Roman"/>
          <w:sz w:val="28"/>
          <w:szCs w:val="28"/>
        </w:rPr>
        <w:t xml:space="preserve"> 2020). Das dadurch beim Empfänger der Nachricht in Gang gesetzte Denken folgt dem Mechanismus der „Nachträglichkeit“ des Diskurses (Lacan 1953). </w:t>
      </w:r>
    </w:p>
    <w:p w14:paraId="5F31469A" w14:textId="2B901DCF" w:rsidR="00594128" w:rsidRPr="00532D1A" w:rsidRDefault="00594128" w:rsidP="006B3C54">
      <w:pPr>
        <w:spacing w:after="240" w:line="276" w:lineRule="auto"/>
        <w:rPr>
          <w:rFonts w:ascii="Times New Roman" w:hAnsi="Times New Roman"/>
          <w:b/>
          <w:bCs/>
          <w:sz w:val="28"/>
          <w:szCs w:val="28"/>
        </w:rPr>
      </w:pPr>
      <w:r w:rsidRPr="00532D1A">
        <w:rPr>
          <w:rFonts w:ascii="Times New Roman" w:hAnsi="Times New Roman"/>
          <w:b/>
          <w:bCs/>
          <w:sz w:val="28"/>
          <w:szCs w:val="28"/>
        </w:rPr>
        <w:t>Die Aggressivität der Mitläufer</w:t>
      </w:r>
    </w:p>
    <w:p w14:paraId="7F8CC8F1" w14:textId="1BC2A406" w:rsidR="00273C4E" w:rsidRPr="00532D1A" w:rsidRDefault="00273C4E" w:rsidP="006B3C54">
      <w:pPr>
        <w:pStyle w:val="Textkrper"/>
        <w:spacing w:after="240" w:line="276" w:lineRule="auto"/>
        <w:rPr>
          <w:snapToGrid w:val="0"/>
          <w:sz w:val="28"/>
          <w:szCs w:val="28"/>
        </w:rPr>
      </w:pPr>
      <w:r w:rsidRPr="00532D1A">
        <w:rPr>
          <w:snapToGrid w:val="0"/>
          <w:sz w:val="28"/>
          <w:szCs w:val="28"/>
        </w:rPr>
        <w:t>E</w:t>
      </w:r>
      <w:r w:rsidRPr="00532D1A">
        <w:rPr>
          <w:sz w:val="28"/>
          <w:szCs w:val="28"/>
        </w:rPr>
        <w:t xml:space="preserve">inzig die Aggressivität, mit der die </w:t>
      </w:r>
      <w:r w:rsidRPr="00532D1A">
        <w:rPr>
          <w:snapToGrid w:val="0"/>
          <w:sz w:val="28"/>
          <w:szCs w:val="28"/>
        </w:rPr>
        <w:t xml:space="preserve">Übernahme der Parolen </w:t>
      </w:r>
      <w:r w:rsidRPr="00532D1A">
        <w:rPr>
          <w:sz w:val="28"/>
          <w:szCs w:val="28"/>
        </w:rPr>
        <w:t xml:space="preserve">durch die mobilisierten Bürger verteidigt wird, bis hin zum Blockwartverhalten und </w:t>
      </w:r>
      <w:r w:rsidRPr="00532D1A">
        <w:rPr>
          <w:sz w:val="28"/>
          <w:szCs w:val="28"/>
        </w:rPr>
        <w:lastRenderedPageBreak/>
        <w:t>angefeuert durch die Aufforderung zur Denunziation</w:t>
      </w:r>
      <w:r w:rsidRPr="00532D1A">
        <w:rPr>
          <w:rStyle w:val="Funotenzeichen"/>
          <w:sz w:val="28"/>
          <w:szCs w:val="28"/>
        </w:rPr>
        <w:footnoteReference w:id="1"/>
      </w:r>
      <w:r w:rsidRPr="00532D1A">
        <w:rPr>
          <w:sz w:val="28"/>
          <w:szCs w:val="28"/>
        </w:rPr>
        <w:t xml:space="preserve"> durch die „Maschinengewehre hinter der Front“ (Freud 1920</w:t>
      </w:r>
      <w:r w:rsidR="00296A4A" w:rsidRPr="00532D1A">
        <w:rPr>
          <w:sz w:val="28"/>
          <w:szCs w:val="28"/>
        </w:rPr>
        <w:t>)</w:t>
      </w:r>
      <w:r w:rsidRPr="00532D1A">
        <w:rPr>
          <w:sz w:val="28"/>
          <w:szCs w:val="28"/>
        </w:rPr>
        <w:t xml:space="preserve">, zeugt von der Anstrengung der Verleugnung, die diese aufwenden müssen, um sich vor der Erkenntnis zu schützen, dass sie „Opfer fremder Machtgelüste“ geworden waren (Adler 1919, S. 129). </w:t>
      </w:r>
    </w:p>
    <w:p w14:paraId="5705CAB3" w14:textId="77777777" w:rsidR="00273C4E" w:rsidRPr="00532D1A" w:rsidRDefault="00273C4E" w:rsidP="006B3C54">
      <w:pPr>
        <w:spacing w:after="240" w:line="276" w:lineRule="auto"/>
        <w:rPr>
          <w:rFonts w:ascii="Times New Roman" w:hAnsi="Times New Roman"/>
          <w:sz w:val="28"/>
          <w:szCs w:val="28"/>
        </w:rPr>
      </w:pPr>
      <w:r w:rsidRPr="00532D1A">
        <w:rPr>
          <w:rFonts w:ascii="Times New Roman" w:hAnsi="Times New Roman"/>
          <w:sz w:val="28"/>
          <w:szCs w:val="28"/>
        </w:rPr>
        <w:t xml:space="preserve">Bei wem der Milgram-Reflex der Unterwerfung nicht funktionierte, wurde aus dem </w:t>
      </w:r>
      <w:proofErr w:type="spellStart"/>
      <w:r w:rsidRPr="00532D1A">
        <w:rPr>
          <w:rFonts w:ascii="Times New Roman" w:hAnsi="Times New Roman"/>
          <w:sz w:val="28"/>
          <w:szCs w:val="28"/>
        </w:rPr>
        <w:t>juste</w:t>
      </w:r>
      <w:proofErr w:type="spellEnd"/>
      <w:r w:rsidRPr="00532D1A">
        <w:rPr>
          <w:rFonts w:ascii="Times New Roman" w:hAnsi="Times New Roman"/>
          <w:sz w:val="28"/>
          <w:szCs w:val="28"/>
        </w:rPr>
        <w:t xml:space="preserve"> </w:t>
      </w:r>
      <w:proofErr w:type="spellStart"/>
      <w:r w:rsidRPr="00532D1A">
        <w:rPr>
          <w:rFonts w:ascii="Times New Roman" w:hAnsi="Times New Roman"/>
          <w:sz w:val="28"/>
          <w:szCs w:val="28"/>
        </w:rPr>
        <w:t>milieu</w:t>
      </w:r>
      <w:proofErr w:type="spellEnd"/>
      <w:r w:rsidRPr="00532D1A">
        <w:rPr>
          <w:rFonts w:ascii="Times New Roman" w:hAnsi="Times New Roman"/>
          <w:sz w:val="28"/>
          <w:szCs w:val="28"/>
        </w:rPr>
        <w:t xml:space="preserve"> der „Willigen“ ausgeschlossen, diffamiert, verlor seinen Arbeitsplatz, oder wurde polizeilich schikaniert. Auch hier finden wir den </w:t>
      </w:r>
      <w:proofErr w:type="spellStart"/>
      <w:r w:rsidRPr="00532D1A">
        <w:rPr>
          <w:rFonts w:ascii="Times New Roman" w:hAnsi="Times New Roman"/>
          <w:sz w:val="28"/>
          <w:szCs w:val="28"/>
        </w:rPr>
        <w:t>Orwellschen</w:t>
      </w:r>
      <w:proofErr w:type="spellEnd"/>
      <w:r w:rsidRPr="00532D1A">
        <w:rPr>
          <w:rFonts w:ascii="Times New Roman" w:hAnsi="Times New Roman"/>
          <w:sz w:val="28"/>
          <w:szCs w:val="28"/>
        </w:rPr>
        <w:t xml:space="preserve"> Umgang mit den Begriffen, deren Verkehrung ins Gegenteil. Die Kritiker der Pandemie-Inszenierung wurden als „Antisemiten“ und „Verschwörungstheoretiker“ ihres Rechts auf politische Artikulation beraubt (s. Bruder 2018). </w:t>
      </w:r>
    </w:p>
    <w:p w14:paraId="3EB59FFF" w14:textId="5A976381" w:rsidR="00594128" w:rsidRPr="00532D1A" w:rsidRDefault="00594128" w:rsidP="006B3C54">
      <w:pPr>
        <w:spacing w:after="240" w:line="276" w:lineRule="auto"/>
        <w:rPr>
          <w:rFonts w:ascii="Times New Roman" w:hAnsi="Times New Roman"/>
          <w:b/>
          <w:bCs/>
          <w:sz w:val="28"/>
          <w:szCs w:val="28"/>
        </w:rPr>
      </w:pPr>
      <w:r w:rsidRPr="00532D1A">
        <w:rPr>
          <w:rFonts w:ascii="Times New Roman" w:hAnsi="Times New Roman"/>
          <w:b/>
          <w:bCs/>
          <w:sz w:val="28"/>
          <w:szCs w:val="28"/>
        </w:rPr>
        <w:t>Verleu</w:t>
      </w:r>
      <w:r w:rsidR="00FF20FE" w:rsidRPr="00532D1A">
        <w:rPr>
          <w:rFonts w:ascii="Times New Roman" w:hAnsi="Times New Roman"/>
          <w:b/>
          <w:bCs/>
          <w:sz w:val="28"/>
          <w:szCs w:val="28"/>
        </w:rPr>
        <w:t>md</w:t>
      </w:r>
      <w:r w:rsidRPr="00532D1A">
        <w:rPr>
          <w:rFonts w:ascii="Times New Roman" w:hAnsi="Times New Roman"/>
          <w:b/>
          <w:bCs/>
          <w:sz w:val="28"/>
          <w:szCs w:val="28"/>
        </w:rPr>
        <w:t>ung</w:t>
      </w:r>
    </w:p>
    <w:p w14:paraId="143E0654" w14:textId="67D05765" w:rsidR="00273C4E" w:rsidRPr="00532D1A" w:rsidRDefault="00273C4E" w:rsidP="006B3C54">
      <w:pPr>
        <w:spacing w:after="240" w:line="276" w:lineRule="auto"/>
        <w:rPr>
          <w:rFonts w:ascii="Times New Roman" w:hAnsi="Times New Roman"/>
          <w:sz w:val="28"/>
          <w:szCs w:val="28"/>
        </w:rPr>
      </w:pPr>
      <w:r w:rsidRPr="00532D1A">
        <w:rPr>
          <w:rFonts w:ascii="Times New Roman" w:hAnsi="Times New Roman"/>
          <w:sz w:val="28"/>
          <w:szCs w:val="28"/>
        </w:rPr>
        <w:t xml:space="preserve">Diese ursprünglich gesellschaftskritisch verwendeten Begriffe waren mit den Jahren nach 1989 zunehmend in staatstragende Hände gewandert, die sie zur Entsolidarisierung und Demoralisierung der politischen Opposition benützten. Dabei wird ein doppeltes Spiel getrieben: die Begriffe werden einerseits mit ihrem ursprünglichen Bedeutungshof in die Diskussion geworfen, zugleich gegen politisch linke Positionen gerichtet. </w:t>
      </w:r>
    </w:p>
    <w:p w14:paraId="2A857B11" w14:textId="77777777" w:rsidR="00273C4E" w:rsidRPr="00532D1A" w:rsidRDefault="00273C4E" w:rsidP="006B3C54">
      <w:pPr>
        <w:spacing w:after="240" w:line="276" w:lineRule="auto"/>
        <w:rPr>
          <w:rFonts w:ascii="Times New Roman" w:hAnsi="Times New Roman"/>
          <w:sz w:val="28"/>
          <w:szCs w:val="28"/>
        </w:rPr>
      </w:pPr>
      <w:r w:rsidRPr="00532D1A">
        <w:rPr>
          <w:rFonts w:ascii="Times New Roman" w:hAnsi="Times New Roman"/>
          <w:sz w:val="28"/>
          <w:szCs w:val="28"/>
        </w:rPr>
        <w:t xml:space="preserve">Diese Begriffe haben die entscheidende Rolle bei der „Immunisierung“ der Öffentlichkeit gegen das „Virus“ der Proteste gegen die „Pandemie“–Inszenierung gespielt. Der politische Diskurs ist inzwischen so weit verkommen, dass es genügt, diese ohne jede Begründung dem politischen Gegner als Kainsmale aufzukleben, um ihn als ernst zu nehmende Opposition gegen die Politik des Corona – Pandemie – Regimes auszuschalten. Sie dienten der Einübung der Bevölkerung in die „Abwehr“ von Aufklärung und Widerstand, die, sobald sie auftauchten, sofort im Keim erstickt werden sollten. </w:t>
      </w:r>
    </w:p>
    <w:p w14:paraId="19AFD9F7" w14:textId="646E4492" w:rsidR="00594128" w:rsidRPr="00532D1A" w:rsidRDefault="00594128" w:rsidP="006B3C54">
      <w:pPr>
        <w:spacing w:after="240" w:line="276" w:lineRule="auto"/>
        <w:rPr>
          <w:rFonts w:ascii="Times New Roman" w:hAnsi="Times New Roman"/>
          <w:b/>
          <w:bCs/>
          <w:sz w:val="28"/>
          <w:szCs w:val="28"/>
        </w:rPr>
      </w:pPr>
      <w:r w:rsidRPr="00532D1A">
        <w:rPr>
          <w:rFonts w:ascii="Times New Roman" w:hAnsi="Times New Roman"/>
          <w:b/>
          <w:bCs/>
          <w:sz w:val="28"/>
          <w:szCs w:val="28"/>
        </w:rPr>
        <w:t>Zynismus</w:t>
      </w:r>
    </w:p>
    <w:p w14:paraId="70BCC8F6" w14:textId="77777777" w:rsidR="00594128" w:rsidRPr="00532D1A" w:rsidRDefault="00273C4E" w:rsidP="006B3C54">
      <w:pPr>
        <w:spacing w:after="240" w:line="276" w:lineRule="auto"/>
        <w:rPr>
          <w:rFonts w:ascii="Times New Roman" w:hAnsi="Times New Roman"/>
          <w:sz w:val="28"/>
          <w:szCs w:val="28"/>
        </w:rPr>
      </w:pPr>
      <w:r w:rsidRPr="00532D1A">
        <w:rPr>
          <w:rFonts w:ascii="Times New Roman" w:hAnsi="Times New Roman"/>
          <w:sz w:val="28"/>
          <w:szCs w:val="28"/>
        </w:rPr>
        <w:t xml:space="preserve">Der Zynismus, mit dem dieses Experiment durchgeführt, ja geplant worden war, wird bestätigt durch den Zynismus der Schriften und Äußerungen der Protagonisten und Propagandisten der Pandemieinszenierungen, allen voran </w:t>
      </w:r>
      <w:r w:rsidRPr="00532D1A">
        <w:rPr>
          <w:rFonts w:ascii="Times New Roman" w:hAnsi="Times New Roman"/>
          <w:sz w:val="28"/>
          <w:szCs w:val="28"/>
        </w:rPr>
        <w:lastRenderedPageBreak/>
        <w:t xml:space="preserve">Klaus Schwab, dem Organisator des Weltwirtschaftsforum Forums (WEF), bekannt durch seine jährlichen Treffen in Davos, das diejenigen versammelt, die sich selbstbewusst „Entscheider“ in Politik und Wirtschaft nennen. Das letzte Buch von Schwab (2020) ist tatsächlich ein beispielhaftes Dokument, nicht nur eine Wortmeldung, sondern eine Keynote des Diskurses der Macht, mit der er die Katze aus dem Sack </w:t>
      </w:r>
      <w:proofErr w:type="spellStart"/>
      <w:r w:rsidRPr="00532D1A">
        <w:rPr>
          <w:rFonts w:ascii="Times New Roman" w:hAnsi="Times New Roman"/>
          <w:sz w:val="28"/>
          <w:szCs w:val="28"/>
        </w:rPr>
        <w:t>läßt</w:t>
      </w:r>
      <w:proofErr w:type="spellEnd"/>
      <w:r w:rsidRPr="00532D1A">
        <w:rPr>
          <w:rFonts w:ascii="Times New Roman" w:hAnsi="Times New Roman"/>
          <w:sz w:val="28"/>
          <w:szCs w:val="28"/>
        </w:rPr>
        <w:t>, indem er alles, was wir in den letzten Monaten erlebt haben, bereits als „unvermeidliche Entwicklung“ beschreibt: „unvermeidlich“ wird es zu einer Vernichtung einer unvorstellbar großen Anzahl kleiner und mittlerer Betriebe kommen, werden Millionen Arbeitslose entstehen, werden Generationen in beispiellosem Leid leben müssen – alles als Folge von Covid 19. Er, einer der wichtigsten Akteure in dieser Inszenierung, stellt deren Ergebnisse als Folge einer „Pandemie“ dar, für die er selbst keinerlei Verantwortung übernimmt. Und – auch das ist für die Wirkung des Diskurses der Macht unverzichtbar – Schwab verspricht als Licht am Ende des Tunnels eine Gesellschaft, in der wir alle glücklich sein werden, auch wenn wir weder über Besitz verfügen werden noch über uns selbst. Er nennt diese Dystopie nicht „Schöne neue Welt“. Aber: wer mit „wir“ gemeint ist, zeigt die Maskenfreie „Corona“-Party im Hause Springer am 5. Dezember 2020 auf der Elon Musk, der Tesla-Chef mit dem Axel Springer Award geehrt wurde und Gesundheitsminister Spahn die Preisrede hielt (Rügemer 2020).</w:t>
      </w:r>
      <w:r w:rsidR="00594128" w:rsidRPr="00532D1A">
        <w:rPr>
          <w:rFonts w:ascii="Times New Roman" w:hAnsi="Times New Roman"/>
          <w:sz w:val="28"/>
          <w:szCs w:val="28"/>
        </w:rPr>
        <w:t xml:space="preserve"> </w:t>
      </w:r>
    </w:p>
    <w:p w14:paraId="1EB38DF4" w14:textId="6A9A74BE" w:rsidR="00594128" w:rsidRPr="00532D1A" w:rsidRDefault="00594128" w:rsidP="006B3C54">
      <w:pPr>
        <w:spacing w:after="240" w:line="276" w:lineRule="auto"/>
        <w:rPr>
          <w:rFonts w:ascii="Times New Roman" w:hAnsi="Times New Roman"/>
          <w:b/>
          <w:bCs/>
          <w:sz w:val="28"/>
          <w:szCs w:val="28"/>
        </w:rPr>
      </w:pPr>
      <w:r w:rsidRPr="00532D1A">
        <w:rPr>
          <w:rFonts w:ascii="Times New Roman" w:hAnsi="Times New Roman"/>
          <w:b/>
          <w:bCs/>
          <w:sz w:val="28"/>
          <w:szCs w:val="28"/>
        </w:rPr>
        <w:t>Die Front steht</w:t>
      </w:r>
    </w:p>
    <w:p w14:paraId="67FF3ED2" w14:textId="754978FE" w:rsidR="00273C4E" w:rsidRPr="00532D1A" w:rsidRDefault="00273C4E" w:rsidP="006B3C54">
      <w:pPr>
        <w:spacing w:after="240" w:line="276" w:lineRule="auto"/>
        <w:rPr>
          <w:rFonts w:ascii="Times New Roman" w:hAnsi="Times New Roman"/>
          <w:sz w:val="28"/>
          <w:szCs w:val="28"/>
        </w:rPr>
      </w:pPr>
      <w:r w:rsidRPr="00532D1A">
        <w:rPr>
          <w:rFonts w:ascii="Times New Roman" w:hAnsi="Times New Roman"/>
          <w:sz w:val="28"/>
          <w:szCs w:val="28"/>
        </w:rPr>
        <w:t xml:space="preserve">Bei dem noch laufenden Experiment hat der Diskurs der Macht seine Wirkungsmacht in beeindruckender Weise bewiesen: buchstäblich von einem Tag auf den anderen war die bisher noch funktionierende – gewiss von Kritikern bereits als Fassade analysierte - Demokratie vor unseren Augen </w:t>
      </w:r>
      <w:proofErr w:type="spellStart"/>
      <w:r w:rsidRPr="00532D1A">
        <w:rPr>
          <w:rFonts w:ascii="Times New Roman" w:hAnsi="Times New Roman"/>
          <w:sz w:val="28"/>
          <w:szCs w:val="28"/>
        </w:rPr>
        <w:t>beiseite geschoben</w:t>
      </w:r>
      <w:proofErr w:type="spellEnd"/>
      <w:r w:rsidRPr="00532D1A">
        <w:rPr>
          <w:rFonts w:ascii="Times New Roman" w:hAnsi="Times New Roman"/>
          <w:sz w:val="28"/>
          <w:szCs w:val="28"/>
        </w:rPr>
        <w:t xml:space="preserve"> worden und unverhüllt war ein Notstandsregime in Aktion erschienen: Ein Ausnahmezustand ohne Widerstand und Protest, den man noch nicht einmal bei seinem Namen nennen darf. Das charakterisiert ihn ebenso, wie die überraschende Tatsache, dass er stillschweigend, ohne Widerstand, hingenommen wurde. Unvorbereitet auf das was kommen sollte, war die Bevölkerung wie durch einen Schock gelähmt. </w:t>
      </w:r>
    </w:p>
    <w:p w14:paraId="4619DBE0" w14:textId="0EEC6FE2" w:rsidR="00273C4E" w:rsidRPr="00532D1A" w:rsidRDefault="00273C4E" w:rsidP="006B3C54">
      <w:pPr>
        <w:spacing w:after="240" w:line="276" w:lineRule="auto"/>
        <w:rPr>
          <w:rFonts w:ascii="Times New Roman" w:hAnsi="Times New Roman"/>
          <w:sz w:val="28"/>
          <w:szCs w:val="28"/>
        </w:rPr>
      </w:pPr>
      <w:r w:rsidRPr="00532D1A">
        <w:rPr>
          <w:rFonts w:ascii="Times New Roman" w:hAnsi="Times New Roman"/>
          <w:sz w:val="28"/>
          <w:szCs w:val="28"/>
        </w:rPr>
        <w:t xml:space="preserve">Während also die Regisseure der Pandemieinszenierung sich – seit den neunziger Jahren – vorbereitet hatten in den sogenannten „Rollenspielen“, in denen sie die Handlungsanweisungen der geplanten Pandemieinszenierungen entwickelten und sich selbst dabei in ihrer Rolle als deren Regisseure einübten, </w:t>
      </w:r>
      <w:r w:rsidRPr="00532D1A">
        <w:rPr>
          <w:rFonts w:ascii="Times New Roman" w:hAnsi="Times New Roman"/>
          <w:sz w:val="28"/>
          <w:szCs w:val="28"/>
        </w:rPr>
        <w:lastRenderedPageBreak/>
        <w:t>wie in dem Aufsehen er</w:t>
      </w:r>
      <w:r w:rsidR="00594128" w:rsidRPr="00532D1A">
        <w:rPr>
          <w:rFonts w:ascii="Times New Roman" w:hAnsi="Times New Roman"/>
          <w:sz w:val="28"/>
          <w:szCs w:val="28"/>
        </w:rPr>
        <w:t>r</w:t>
      </w:r>
      <w:r w:rsidRPr="00532D1A">
        <w:rPr>
          <w:rFonts w:ascii="Times New Roman" w:hAnsi="Times New Roman"/>
          <w:sz w:val="28"/>
          <w:szCs w:val="28"/>
        </w:rPr>
        <w:t xml:space="preserve">egenden Buch von Paul Schreyer (2020) nachgezeichnet wird, fand parallel dazu die Vorbereitung der Bevölkerung durch ihre Einübung in das </w:t>
      </w:r>
      <w:proofErr w:type="spellStart"/>
      <w:r w:rsidRPr="00532D1A">
        <w:rPr>
          <w:rFonts w:ascii="Times New Roman" w:hAnsi="Times New Roman"/>
          <w:sz w:val="28"/>
          <w:szCs w:val="28"/>
        </w:rPr>
        <w:t>orwellsche</w:t>
      </w:r>
      <w:proofErr w:type="spellEnd"/>
      <w:r w:rsidRPr="00532D1A">
        <w:rPr>
          <w:rFonts w:ascii="Times New Roman" w:hAnsi="Times New Roman"/>
          <w:sz w:val="28"/>
          <w:szCs w:val="28"/>
        </w:rPr>
        <w:t xml:space="preserve"> „Neusprech“ des Diskurses statt, mit dessen Parolen sie Protest und Aufklärung als „antidemokratisch“ abzuwehren gelernt hatten.</w:t>
      </w:r>
    </w:p>
    <w:p w14:paraId="28B43200" w14:textId="41423B68" w:rsidR="002D0B74" w:rsidRPr="00532D1A" w:rsidRDefault="001F5674" w:rsidP="006B3C54">
      <w:pPr>
        <w:spacing w:after="240" w:line="276" w:lineRule="auto"/>
        <w:rPr>
          <w:rFonts w:ascii="Times New Roman" w:hAnsi="Times New Roman"/>
          <w:sz w:val="28"/>
          <w:szCs w:val="28"/>
        </w:rPr>
      </w:pPr>
      <w:r w:rsidRPr="00532D1A">
        <w:rPr>
          <w:rFonts w:ascii="Times New Roman" w:hAnsi="Times New Roman"/>
          <w:sz w:val="28"/>
          <w:szCs w:val="28"/>
        </w:rPr>
        <w:t>Diese Abwehrfront, die sofort stand, hält bis heute</w:t>
      </w:r>
      <w:r w:rsidR="002D0B74" w:rsidRPr="00532D1A">
        <w:rPr>
          <w:rFonts w:ascii="Times New Roman" w:hAnsi="Times New Roman"/>
          <w:sz w:val="28"/>
          <w:szCs w:val="28"/>
        </w:rPr>
        <w:t xml:space="preserve"> – für die Fortsetzung des Krieges – mit veränderten Parolen.</w:t>
      </w:r>
    </w:p>
    <w:p w14:paraId="3FB456C0" w14:textId="5D1EB323" w:rsidR="00532D1A" w:rsidRPr="00532D1A" w:rsidRDefault="00532D1A" w:rsidP="00532D1A">
      <w:pPr>
        <w:spacing w:line="276" w:lineRule="auto"/>
        <w:ind w:left="7080"/>
        <w:rPr>
          <w:rFonts w:ascii="Times New Roman" w:hAnsi="Times New Roman"/>
          <w:sz w:val="28"/>
          <w:szCs w:val="28"/>
        </w:rPr>
      </w:pPr>
      <w:r w:rsidRPr="00532D1A">
        <w:rPr>
          <w:rFonts w:ascii="Times New Roman" w:hAnsi="Times New Roman"/>
          <w:sz w:val="28"/>
          <w:szCs w:val="28"/>
        </w:rPr>
        <w:t>18.125 Z + LZ</w:t>
      </w:r>
    </w:p>
    <w:p w14:paraId="7C9C5954" w14:textId="77777777" w:rsidR="001F5674" w:rsidRPr="00532D1A" w:rsidRDefault="001F5674" w:rsidP="006B3C54">
      <w:pPr>
        <w:spacing w:after="240" w:line="276" w:lineRule="auto"/>
        <w:rPr>
          <w:rFonts w:ascii="Times New Roman" w:hAnsi="Times New Roman"/>
          <w:sz w:val="28"/>
          <w:szCs w:val="28"/>
        </w:rPr>
      </w:pPr>
    </w:p>
    <w:p w14:paraId="1123D44C" w14:textId="43F278D0" w:rsidR="00474136" w:rsidRPr="00532D1A" w:rsidRDefault="00474136" w:rsidP="006B3C54">
      <w:pPr>
        <w:spacing w:line="276" w:lineRule="auto"/>
        <w:rPr>
          <w:rFonts w:ascii="Times New Roman" w:hAnsi="Times New Roman"/>
          <w:sz w:val="28"/>
          <w:szCs w:val="28"/>
        </w:rPr>
      </w:pPr>
      <w:bookmarkStart w:id="0" w:name="_Hlk16958999"/>
      <w:r w:rsidRPr="00532D1A">
        <w:rPr>
          <w:rFonts w:ascii="Times New Roman" w:eastAsia="GillSansMT-Italic" w:hAnsi="Times New Roman"/>
          <w:i/>
          <w:iCs/>
          <w:sz w:val="28"/>
          <w:szCs w:val="28"/>
        </w:rPr>
        <w:t>Klaus-Jürgen Bruder</w:t>
      </w:r>
      <w:r w:rsidRPr="00532D1A">
        <w:rPr>
          <w:rFonts w:ascii="Times New Roman" w:eastAsia="GillSansMT-Italic" w:hAnsi="Times New Roman"/>
          <w:iCs/>
          <w:sz w:val="28"/>
          <w:szCs w:val="28"/>
        </w:rPr>
        <w:t xml:space="preserve">, </w:t>
      </w:r>
      <w:r w:rsidRPr="00532D1A">
        <w:rPr>
          <w:rFonts w:ascii="Times New Roman" w:hAnsi="Times New Roman"/>
          <w:sz w:val="28"/>
          <w:szCs w:val="28"/>
        </w:rPr>
        <w:t xml:space="preserve">Prof. Dr. phil. habil., ist Psychoanalytiker, Professor für Psychologie an der Freien Universität Berlin und erster Vorsitzender der Neuen Gesellschaft für Psychologie (NGfP). Wichtigste Publikationen: Lüge und Selbsttäuschung (mit Friedrich Voßkühler) (2009, Göttingen: Vandenhoeck &amp; Ruprecht), Subjektivität und Postmoderne. Der Diskurs der Psychologie (1993, Frankfurt/M.: Suhrkamp), Jugend. Psychologie einer Kultur (mit Almuth Bruder-Bezzel) (1984, München: Urban &amp; Schwarzenberg) und Psychologie ohne </w:t>
      </w:r>
      <w:proofErr w:type="spellStart"/>
      <w:r w:rsidRPr="00532D1A">
        <w:rPr>
          <w:rFonts w:ascii="Times New Roman" w:hAnsi="Times New Roman"/>
          <w:sz w:val="28"/>
          <w:szCs w:val="28"/>
        </w:rPr>
        <w:t>Bewußtsein</w:t>
      </w:r>
      <w:proofErr w:type="spellEnd"/>
      <w:r w:rsidRPr="00532D1A">
        <w:rPr>
          <w:rFonts w:ascii="Times New Roman" w:hAnsi="Times New Roman"/>
          <w:sz w:val="28"/>
          <w:szCs w:val="28"/>
        </w:rPr>
        <w:t>. Die Geburt der behavioristischen Sozialtechnologie (1982, Frankfurt/M.: Suhrkamp).</w:t>
      </w:r>
    </w:p>
    <w:bookmarkEnd w:id="0"/>
    <w:p w14:paraId="23FE1264" w14:textId="163F3D35" w:rsidR="00002485" w:rsidRPr="00532D1A" w:rsidRDefault="00002485" w:rsidP="006B3C54">
      <w:pPr>
        <w:rPr>
          <w:rFonts w:ascii="Times New Roman" w:hAnsi="Times New Roman"/>
          <w:sz w:val="28"/>
          <w:szCs w:val="28"/>
        </w:rPr>
      </w:pPr>
    </w:p>
    <w:p w14:paraId="6B9CFA8E" w14:textId="77777777" w:rsidR="00474136" w:rsidRPr="00532D1A" w:rsidRDefault="00474136" w:rsidP="006B3C54">
      <w:pPr>
        <w:pStyle w:val="Funotentext"/>
        <w:spacing w:after="240" w:line="276" w:lineRule="auto"/>
        <w:rPr>
          <w:rFonts w:ascii="Times New Roman" w:hAnsi="Times New Roman"/>
          <w:sz w:val="28"/>
          <w:szCs w:val="28"/>
        </w:rPr>
      </w:pPr>
    </w:p>
    <w:p w14:paraId="35348B40" w14:textId="0C368E4F" w:rsidR="00671068" w:rsidRPr="00532D1A" w:rsidRDefault="00474136"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rPr>
        <w:t>Literatur</w:t>
      </w:r>
    </w:p>
    <w:p w14:paraId="6E2288D5" w14:textId="77777777" w:rsidR="003A0A01" w:rsidRPr="00532D1A" w:rsidRDefault="003A0A01"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lang w:val="fr-FR"/>
        </w:rPr>
        <w:t xml:space="preserve">Bourdieu, Pierre (1996). </w:t>
      </w:r>
      <w:r w:rsidRPr="00532D1A">
        <w:rPr>
          <w:rFonts w:ascii="Times New Roman" w:hAnsi="Times New Roman"/>
          <w:i/>
          <w:iCs/>
          <w:sz w:val="28"/>
          <w:szCs w:val="28"/>
          <w:lang w:val="fr-FR"/>
        </w:rPr>
        <w:t xml:space="preserve">Sur la </w:t>
      </w:r>
      <w:proofErr w:type="spellStart"/>
      <w:r w:rsidRPr="00532D1A">
        <w:rPr>
          <w:rFonts w:ascii="Times New Roman" w:hAnsi="Times New Roman"/>
          <w:i/>
          <w:iCs/>
          <w:sz w:val="28"/>
          <w:szCs w:val="28"/>
          <w:lang w:val="fr-FR"/>
        </w:rPr>
        <w:t>télevision</w:t>
      </w:r>
      <w:proofErr w:type="spellEnd"/>
      <w:r w:rsidRPr="00532D1A">
        <w:rPr>
          <w:rFonts w:ascii="Times New Roman" w:hAnsi="Times New Roman"/>
          <w:sz w:val="28"/>
          <w:szCs w:val="28"/>
          <w:lang w:val="fr-FR"/>
        </w:rPr>
        <w:t xml:space="preserve">. Liber – Raison d´agir. </w:t>
      </w:r>
      <w:r w:rsidRPr="00532D1A">
        <w:rPr>
          <w:rFonts w:ascii="Times New Roman" w:hAnsi="Times New Roman"/>
          <w:sz w:val="28"/>
          <w:szCs w:val="28"/>
        </w:rPr>
        <w:t>1996 [dt.: Über das Fernsehen. Frankfurt a.M.: Suhrkamp 1998]</w:t>
      </w:r>
    </w:p>
    <w:p w14:paraId="0EE89115" w14:textId="43BD1845" w:rsidR="00F562A4" w:rsidRPr="00532D1A" w:rsidRDefault="00F562A4" w:rsidP="006B3C54">
      <w:pPr>
        <w:spacing w:after="240" w:line="276" w:lineRule="auto"/>
        <w:rPr>
          <w:rFonts w:ascii="Times New Roman" w:hAnsi="Times New Roman"/>
          <w:sz w:val="28"/>
          <w:szCs w:val="28"/>
        </w:rPr>
      </w:pPr>
      <w:r w:rsidRPr="00532D1A">
        <w:rPr>
          <w:rFonts w:ascii="Times New Roman" w:hAnsi="Times New Roman"/>
          <w:sz w:val="28"/>
          <w:szCs w:val="28"/>
        </w:rPr>
        <w:t>Brückner</w:t>
      </w:r>
      <w:r w:rsidR="00AA2F81" w:rsidRPr="00532D1A">
        <w:rPr>
          <w:rFonts w:ascii="Times New Roman" w:hAnsi="Times New Roman"/>
          <w:sz w:val="28"/>
          <w:szCs w:val="28"/>
        </w:rPr>
        <w:t>, Peter</w:t>
      </w:r>
      <w:r w:rsidRPr="00532D1A">
        <w:rPr>
          <w:rFonts w:ascii="Times New Roman" w:hAnsi="Times New Roman"/>
          <w:sz w:val="28"/>
          <w:szCs w:val="28"/>
        </w:rPr>
        <w:t xml:space="preserve"> </w:t>
      </w:r>
      <w:r w:rsidR="00AA2F81" w:rsidRPr="00532D1A">
        <w:rPr>
          <w:rFonts w:ascii="Times New Roman" w:hAnsi="Times New Roman"/>
          <w:sz w:val="28"/>
          <w:szCs w:val="28"/>
        </w:rPr>
        <w:t>(</w:t>
      </w:r>
      <w:r w:rsidRPr="00532D1A">
        <w:rPr>
          <w:rFonts w:ascii="Times New Roman" w:hAnsi="Times New Roman"/>
          <w:sz w:val="28"/>
          <w:szCs w:val="28"/>
        </w:rPr>
        <w:t>1972)</w:t>
      </w:r>
      <w:r w:rsidR="00AA2F81" w:rsidRPr="00532D1A">
        <w:rPr>
          <w:rFonts w:ascii="Times New Roman" w:hAnsi="Times New Roman"/>
          <w:sz w:val="28"/>
          <w:szCs w:val="28"/>
        </w:rPr>
        <w:t xml:space="preserve">: Staatsfeinde. Berlin: Wagenbach </w:t>
      </w:r>
    </w:p>
    <w:p w14:paraId="4858E442" w14:textId="0B3FBD54" w:rsidR="00BC12C9" w:rsidRPr="00532D1A" w:rsidRDefault="00BC12C9" w:rsidP="006B3C54">
      <w:pPr>
        <w:spacing w:after="240" w:line="276" w:lineRule="auto"/>
        <w:rPr>
          <w:rFonts w:ascii="Times New Roman" w:hAnsi="Times New Roman"/>
          <w:sz w:val="28"/>
          <w:szCs w:val="28"/>
        </w:rPr>
      </w:pPr>
      <w:r w:rsidRPr="00532D1A">
        <w:rPr>
          <w:rFonts w:ascii="Times New Roman" w:hAnsi="Times New Roman"/>
          <w:sz w:val="28"/>
          <w:szCs w:val="28"/>
        </w:rPr>
        <w:t>Brückner, Peter (1978): Versuch, uns und anderen die Bundesrepublik zu erklären. Berlin: Wagenbach.</w:t>
      </w:r>
    </w:p>
    <w:p w14:paraId="3DE851EF" w14:textId="77777777" w:rsidR="003A0A01" w:rsidRPr="00532D1A" w:rsidRDefault="003A0A01"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rPr>
        <w:t xml:space="preserve">Bruder, Klaus-Jürgen (2009). </w:t>
      </w:r>
      <w:r w:rsidRPr="00532D1A">
        <w:rPr>
          <w:rFonts w:ascii="Times New Roman" w:hAnsi="Times New Roman"/>
          <w:i/>
          <w:iCs/>
          <w:sz w:val="28"/>
          <w:szCs w:val="28"/>
        </w:rPr>
        <w:t>Die Lüge: das Kennwort im Diskurs der Macht</w:t>
      </w:r>
      <w:r w:rsidRPr="00532D1A">
        <w:rPr>
          <w:rFonts w:ascii="Times New Roman" w:hAnsi="Times New Roman"/>
          <w:sz w:val="28"/>
          <w:szCs w:val="28"/>
        </w:rPr>
        <w:t>. In: Klaus-Jürgen Bruder &amp; Friedrich Voßkühler: Lüge und Selbsttäuschung. Göttingen: Vandenhoeck. Reihe Philosophie und Psychologie im Dialog. Jüttemann, Gerd &amp; Christoph Hubig (Hrsg.)</w:t>
      </w:r>
    </w:p>
    <w:p w14:paraId="149C0FB9" w14:textId="77777777" w:rsidR="003A0A01" w:rsidRPr="00532D1A" w:rsidRDefault="003A0A01"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rPr>
        <w:lastRenderedPageBreak/>
        <w:t>Bruder, Klaus-Jürgen (2012): Massenloyalität. Zur Aktualität der Sozialpsychologie Peter Brückners, in: Kritiknetz - Zeitschrift für Kritische Theorie der Gesellschaft</w:t>
      </w:r>
    </w:p>
    <w:p w14:paraId="3CEFD960" w14:textId="77777777" w:rsidR="003A0A01" w:rsidRPr="00532D1A" w:rsidRDefault="003A0A01" w:rsidP="006B3C54">
      <w:pPr>
        <w:pStyle w:val="Funotentext"/>
        <w:spacing w:after="240" w:line="276" w:lineRule="auto"/>
        <w:rPr>
          <w:rFonts w:ascii="Times New Roman" w:hAnsi="Times New Roman"/>
          <w:sz w:val="28"/>
          <w:szCs w:val="28"/>
        </w:rPr>
      </w:pPr>
      <w:r w:rsidRPr="00532D1A">
        <w:rPr>
          <w:rStyle w:val="acopre"/>
          <w:rFonts w:ascii="Times New Roman" w:hAnsi="Times New Roman"/>
          <w:sz w:val="28"/>
          <w:szCs w:val="28"/>
        </w:rPr>
        <w:t xml:space="preserve">Brückner, Peter &amp; Alfred </w:t>
      </w:r>
      <w:proofErr w:type="spellStart"/>
      <w:r w:rsidRPr="00532D1A">
        <w:rPr>
          <w:rStyle w:val="acopre"/>
          <w:rFonts w:ascii="Times New Roman" w:hAnsi="Times New Roman"/>
          <w:sz w:val="28"/>
          <w:szCs w:val="28"/>
        </w:rPr>
        <w:t>Krovoza</w:t>
      </w:r>
      <w:proofErr w:type="spellEnd"/>
      <w:r w:rsidRPr="00532D1A">
        <w:rPr>
          <w:rStyle w:val="acopre"/>
          <w:rFonts w:ascii="Times New Roman" w:hAnsi="Times New Roman"/>
          <w:sz w:val="28"/>
          <w:szCs w:val="28"/>
        </w:rPr>
        <w:t xml:space="preserve"> (1972)</w:t>
      </w:r>
      <w:r w:rsidRPr="00532D1A">
        <w:rPr>
          <w:rStyle w:val="acopre"/>
          <w:rFonts w:ascii="Times New Roman" w:hAnsi="Times New Roman"/>
          <w:i/>
          <w:iCs/>
          <w:sz w:val="28"/>
          <w:szCs w:val="28"/>
        </w:rPr>
        <w:t xml:space="preserve"> </w:t>
      </w:r>
      <w:r w:rsidRPr="00532D1A">
        <w:rPr>
          <w:rFonts w:ascii="Times New Roman" w:hAnsi="Times New Roman"/>
          <w:sz w:val="28"/>
          <w:szCs w:val="28"/>
        </w:rPr>
        <w:t>Staatsfeinde. Innerstaatliche Feinderklärung in der BRD. Rotbuch 40. Berlin (Wagenbach).</w:t>
      </w:r>
    </w:p>
    <w:p w14:paraId="5873014E" w14:textId="77777777" w:rsidR="003A0A01" w:rsidRPr="00532D1A" w:rsidRDefault="003A0A01"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lang w:val="en-GB"/>
        </w:rPr>
        <w:t xml:space="preserve">Chomsky, Noam (2002). </w:t>
      </w:r>
      <w:r w:rsidRPr="00532D1A">
        <w:rPr>
          <w:rFonts w:ascii="Times New Roman" w:hAnsi="Times New Roman"/>
          <w:i/>
          <w:iCs/>
          <w:sz w:val="28"/>
          <w:szCs w:val="28"/>
          <w:lang w:val="en-GB"/>
        </w:rPr>
        <w:t>Media Control</w:t>
      </w:r>
      <w:r w:rsidRPr="00532D1A">
        <w:rPr>
          <w:rFonts w:ascii="Times New Roman" w:hAnsi="Times New Roman"/>
          <w:sz w:val="28"/>
          <w:szCs w:val="28"/>
          <w:lang w:val="en-GB"/>
        </w:rPr>
        <w:t>. New York: Seven Stories Press [dt.: Media Control. Hamburg: Europa Verlag 2003]</w:t>
      </w:r>
    </w:p>
    <w:p w14:paraId="52CC82E9" w14:textId="77777777" w:rsidR="003A0A01" w:rsidRPr="00532D1A" w:rsidRDefault="003A0A01"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lang w:val="fr-FR"/>
        </w:rPr>
        <w:t xml:space="preserve">Derrida, Jacques (1993). </w:t>
      </w:r>
      <w:r w:rsidRPr="00532D1A">
        <w:rPr>
          <w:rFonts w:ascii="Times New Roman" w:hAnsi="Times New Roman"/>
          <w:i/>
          <w:iCs/>
          <w:sz w:val="28"/>
          <w:szCs w:val="28"/>
          <w:lang w:val="fr-FR"/>
        </w:rPr>
        <w:t>Spectres de Marx</w:t>
      </w:r>
      <w:r w:rsidRPr="00532D1A">
        <w:rPr>
          <w:rFonts w:ascii="Times New Roman" w:hAnsi="Times New Roman"/>
          <w:sz w:val="28"/>
          <w:szCs w:val="28"/>
          <w:lang w:val="fr-FR"/>
        </w:rPr>
        <w:t xml:space="preserve">. </w:t>
      </w:r>
      <w:r w:rsidRPr="00532D1A">
        <w:rPr>
          <w:rFonts w:ascii="Times New Roman" w:hAnsi="Times New Roman"/>
          <w:sz w:val="28"/>
          <w:szCs w:val="28"/>
        </w:rPr>
        <w:t>Paris [dt.:</w:t>
      </w:r>
      <w:r w:rsidRPr="00532D1A">
        <w:rPr>
          <w:rFonts w:ascii="Times New Roman" w:hAnsi="Times New Roman"/>
          <w:snapToGrid w:val="0"/>
          <w:sz w:val="28"/>
          <w:szCs w:val="28"/>
        </w:rPr>
        <w:t xml:space="preserve"> Marx' Gespenster. Der verschuldete Staat, die Trauerarbeit und die neue Internationale. Frankfurt/M.: Fischer 1995].</w:t>
      </w:r>
    </w:p>
    <w:p w14:paraId="1416CCAC" w14:textId="08FBA8FE" w:rsidR="00B7335B" w:rsidRPr="00532D1A" w:rsidRDefault="00EE0344" w:rsidP="006B3C54">
      <w:pPr>
        <w:pStyle w:val="StandardWeb"/>
        <w:spacing w:before="0" w:beforeAutospacing="0" w:after="240" w:afterAutospacing="0"/>
        <w:rPr>
          <w:rFonts w:eastAsiaTheme="minorEastAsia"/>
          <w:sz w:val="28"/>
          <w:szCs w:val="28"/>
        </w:rPr>
      </w:pPr>
      <w:proofErr w:type="spellStart"/>
      <w:r w:rsidRPr="00532D1A">
        <w:rPr>
          <w:rStyle w:val="Hervorhebung"/>
          <w:rFonts w:eastAsiaTheme="minorEastAsia"/>
          <w:i w:val="0"/>
          <w:iCs w:val="0"/>
          <w:sz w:val="28"/>
          <w:szCs w:val="28"/>
        </w:rPr>
        <w:t>Desmet</w:t>
      </w:r>
      <w:proofErr w:type="spellEnd"/>
      <w:r w:rsidRPr="00532D1A">
        <w:rPr>
          <w:rStyle w:val="Hervorhebung"/>
          <w:rFonts w:eastAsiaTheme="minorEastAsia"/>
          <w:i w:val="0"/>
          <w:iCs w:val="0"/>
          <w:sz w:val="28"/>
          <w:szCs w:val="28"/>
        </w:rPr>
        <w:t xml:space="preserve">, </w:t>
      </w:r>
      <w:r w:rsidR="00996E6F" w:rsidRPr="00532D1A">
        <w:rPr>
          <w:rStyle w:val="Hervorhebung"/>
          <w:rFonts w:eastAsiaTheme="minorEastAsia"/>
          <w:i w:val="0"/>
          <w:iCs w:val="0"/>
          <w:sz w:val="28"/>
          <w:szCs w:val="28"/>
        </w:rPr>
        <w:t xml:space="preserve">Mattias </w:t>
      </w:r>
      <w:r w:rsidRPr="00532D1A">
        <w:rPr>
          <w:rStyle w:val="Hervorhebung"/>
          <w:rFonts w:eastAsiaTheme="minorEastAsia"/>
          <w:i w:val="0"/>
          <w:iCs w:val="0"/>
          <w:sz w:val="28"/>
          <w:szCs w:val="28"/>
        </w:rPr>
        <w:t>(2022):</w:t>
      </w:r>
      <w:r w:rsidR="00996E6F" w:rsidRPr="00532D1A">
        <w:rPr>
          <w:rStyle w:val="Hervorhebung"/>
          <w:rFonts w:eastAsiaTheme="minorEastAsia"/>
          <w:i w:val="0"/>
          <w:iCs w:val="0"/>
          <w:sz w:val="28"/>
          <w:szCs w:val="28"/>
        </w:rPr>
        <w:t xml:space="preserve"> </w:t>
      </w:r>
      <w:hyperlink r:id="rId7" w:tgtFrame="_blank" w:history="1">
        <w:r w:rsidRPr="00532D1A">
          <w:rPr>
            <w:rStyle w:val="Hyperlink"/>
            <w:color w:val="auto"/>
            <w:sz w:val="28"/>
            <w:szCs w:val="28"/>
            <w:u w:val="none"/>
          </w:rPr>
          <w:t xml:space="preserve">The Psychology </w:t>
        </w:r>
        <w:proofErr w:type="spellStart"/>
        <w:r w:rsidRPr="00532D1A">
          <w:rPr>
            <w:rStyle w:val="Hyperlink"/>
            <w:color w:val="auto"/>
            <w:sz w:val="28"/>
            <w:szCs w:val="28"/>
            <w:u w:val="none"/>
          </w:rPr>
          <w:t>of</w:t>
        </w:r>
        <w:proofErr w:type="spellEnd"/>
        <w:r w:rsidRPr="00532D1A">
          <w:rPr>
            <w:rStyle w:val="Hyperlink"/>
            <w:color w:val="auto"/>
            <w:sz w:val="28"/>
            <w:szCs w:val="28"/>
            <w:u w:val="none"/>
          </w:rPr>
          <w:t xml:space="preserve"> </w:t>
        </w:r>
        <w:proofErr w:type="spellStart"/>
        <w:r w:rsidRPr="00532D1A">
          <w:rPr>
            <w:rStyle w:val="Hyperlink"/>
            <w:color w:val="auto"/>
            <w:sz w:val="28"/>
            <w:szCs w:val="28"/>
            <w:u w:val="none"/>
          </w:rPr>
          <w:t>Totalitariansism</w:t>
        </w:r>
        <w:proofErr w:type="spellEnd"/>
      </w:hyperlink>
      <w:r w:rsidRPr="00532D1A">
        <w:rPr>
          <w:rStyle w:val="Hervorhebung"/>
          <w:rFonts w:eastAsiaTheme="minorEastAsia"/>
          <w:sz w:val="28"/>
          <w:szCs w:val="28"/>
        </w:rPr>
        <w:t xml:space="preserve">. </w:t>
      </w:r>
      <w:r w:rsidRPr="00532D1A">
        <w:rPr>
          <w:rStyle w:val="Hervorhebung"/>
          <w:rFonts w:eastAsiaTheme="minorEastAsia"/>
          <w:i w:val="0"/>
          <w:iCs w:val="0"/>
          <w:sz w:val="28"/>
          <w:szCs w:val="28"/>
        </w:rPr>
        <w:t>Chelsea Green Publishing. [dt.</w:t>
      </w:r>
      <w:r w:rsidRPr="00532D1A">
        <w:rPr>
          <w:rStyle w:val="Hervorhebung"/>
          <w:rFonts w:eastAsiaTheme="minorEastAsia"/>
          <w:sz w:val="28"/>
          <w:szCs w:val="28"/>
        </w:rPr>
        <w:t xml:space="preserve"> </w:t>
      </w:r>
      <w:hyperlink r:id="rId8" w:tgtFrame="_blank" w:history="1">
        <w:r w:rsidR="00996E6F" w:rsidRPr="00532D1A">
          <w:rPr>
            <w:rStyle w:val="Hyperlink"/>
            <w:color w:val="auto"/>
            <w:sz w:val="28"/>
            <w:szCs w:val="28"/>
            <w:u w:val="none"/>
          </w:rPr>
          <w:t>Die Psychologie des Totalitarismus</w:t>
        </w:r>
      </w:hyperlink>
      <w:r w:rsidRPr="00532D1A">
        <w:rPr>
          <w:rStyle w:val="Hervorhebung"/>
          <w:rFonts w:eastAsiaTheme="minorEastAsia"/>
          <w:sz w:val="28"/>
          <w:szCs w:val="28"/>
        </w:rPr>
        <w:t>,</w:t>
      </w:r>
      <w:r w:rsidRPr="00532D1A">
        <w:rPr>
          <w:rStyle w:val="Hervorhebung"/>
          <w:rFonts w:eastAsiaTheme="minorEastAsia"/>
          <w:i w:val="0"/>
          <w:iCs w:val="0"/>
          <w:sz w:val="28"/>
          <w:szCs w:val="28"/>
        </w:rPr>
        <w:t xml:space="preserve"> erscheint 2023]</w:t>
      </w:r>
    </w:p>
    <w:p w14:paraId="4EE7B6EA" w14:textId="542040C6" w:rsidR="003A0A01" w:rsidRPr="00532D1A" w:rsidRDefault="003A0A01" w:rsidP="006B3C54">
      <w:pPr>
        <w:pStyle w:val="KeinLeerraum"/>
        <w:spacing w:after="240" w:line="276" w:lineRule="auto"/>
        <w:rPr>
          <w:rFonts w:ascii="Times New Roman" w:hAnsi="Times New Roman"/>
          <w:sz w:val="28"/>
          <w:szCs w:val="28"/>
        </w:rPr>
      </w:pPr>
      <w:proofErr w:type="spellStart"/>
      <w:r w:rsidRPr="00532D1A">
        <w:rPr>
          <w:rFonts w:ascii="Times New Roman" w:hAnsi="Times New Roman"/>
          <w:sz w:val="28"/>
          <w:szCs w:val="28"/>
        </w:rPr>
        <w:t>Erdheim</w:t>
      </w:r>
      <w:proofErr w:type="spellEnd"/>
      <w:r w:rsidRPr="00532D1A">
        <w:rPr>
          <w:rFonts w:ascii="Times New Roman" w:hAnsi="Times New Roman"/>
          <w:sz w:val="28"/>
          <w:szCs w:val="28"/>
        </w:rPr>
        <w:t xml:space="preserve">, Mario </w:t>
      </w:r>
      <w:r w:rsidRPr="00532D1A">
        <w:rPr>
          <w:rFonts w:ascii="Times New Roman" w:hAnsi="Times New Roman"/>
          <w:i/>
          <w:iCs/>
          <w:sz w:val="28"/>
          <w:szCs w:val="28"/>
        </w:rPr>
        <w:t xml:space="preserve">Die gesellschaftliche Produktion von </w:t>
      </w:r>
      <w:proofErr w:type="spellStart"/>
      <w:r w:rsidRPr="00532D1A">
        <w:rPr>
          <w:rFonts w:ascii="Times New Roman" w:hAnsi="Times New Roman"/>
          <w:i/>
          <w:iCs/>
          <w:sz w:val="28"/>
          <w:szCs w:val="28"/>
        </w:rPr>
        <w:t>Unbewußtheit</w:t>
      </w:r>
      <w:proofErr w:type="spellEnd"/>
      <w:r w:rsidRPr="00532D1A">
        <w:rPr>
          <w:rFonts w:ascii="Times New Roman" w:hAnsi="Times New Roman"/>
          <w:i/>
          <w:iCs/>
          <w:sz w:val="28"/>
          <w:szCs w:val="28"/>
        </w:rPr>
        <w:t>. Eine Einführung in den ethnopsychoanalytischen Prozess</w:t>
      </w:r>
      <w:r w:rsidRPr="00532D1A">
        <w:rPr>
          <w:rFonts w:ascii="Times New Roman" w:hAnsi="Times New Roman"/>
          <w:sz w:val="28"/>
          <w:szCs w:val="28"/>
        </w:rPr>
        <w:t>. Suhrkamp, Frankfurt a. M. 1982</w:t>
      </w:r>
    </w:p>
    <w:p w14:paraId="6B043751" w14:textId="77777777" w:rsidR="003A0A01" w:rsidRPr="00532D1A" w:rsidRDefault="003A0A01"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lang w:val="en-GB"/>
        </w:rPr>
        <w:t xml:space="preserve">Foucault, Michel (1982). </w:t>
      </w:r>
      <w:r w:rsidRPr="00532D1A">
        <w:rPr>
          <w:rFonts w:ascii="Times New Roman" w:hAnsi="Times New Roman"/>
          <w:i/>
          <w:iCs/>
          <w:sz w:val="28"/>
          <w:szCs w:val="28"/>
          <w:lang w:val="en-GB"/>
        </w:rPr>
        <w:t>The Subject and Power</w:t>
      </w:r>
      <w:r w:rsidRPr="00532D1A">
        <w:rPr>
          <w:rFonts w:ascii="Times New Roman" w:hAnsi="Times New Roman"/>
          <w:sz w:val="28"/>
          <w:szCs w:val="28"/>
          <w:lang w:val="en-GB"/>
        </w:rPr>
        <w:t xml:space="preserve">. In Hubert L. Dreyfus &amp; Paul Rabinow (Eds.), Michel Foucault: Beyond Structuralism and Hermeneutics. Chicago, 2o8-226 [dt.: Das </w:t>
      </w:r>
      <w:proofErr w:type="spellStart"/>
      <w:r w:rsidRPr="00532D1A">
        <w:rPr>
          <w:rFonts w:ascii="Times New Roman" w:hAnsi="Times New Roman"/>
          <w:sz w:val="28"/>
          <w:szCs w:val="28"/>
          <w:lang w:val="en-GB"/>
        </w:rPr>
        <w:t>Subjekt</w:t>
      </w:r>
      <w:proofErr w:type="spellEnd"/>
      <w:r w:rsidRPr="00532D1A">
        <w:rPr>
          <w:rFonts w:ascii="Times New Roman" w:hAnsi="Times New Roman"/>
          <w:sz w:val="28"/>
          <w:szCs w:val="28"/>
          <w:lang w:val="en-GB"/>
        </w:rPr>
        <w:t xml:space="preserve"> und die Macht. </w:t>
      </w:r>
      <w:r w:rsidRPr="00532D1A">
        <w:rPr>
          <w:rFonts w:ascii="Times New Roman" w:hAnsi="Times New Roman"/>
          <w:sz w:val="28"/>
          <w:szCs w:val="28"/>
        </w:rPr>
        <w:t xml:space="preserve">In: Hubert L. Dreyfus &amp; Paul </w:t>
      </w:r>
      <w:proofErr w:type="spellStart"/>
      <w:r w:rsidRPr="00532D1A">
        <w:rPr>
          <w:rFonts w:ascii="Times New Roman" w:hAnsi="Times New Roman"/>
          <w:sz w:val="28"/>
          <w:szCs w:val="28"/>
        </w:rPr>
        <w:t>Rabinow</w:t>
      </w:r>
      <w:proofErr w:type="spellEnd"/>
      <w:r w:rsidRPr="00532D1A">
        <w:rPr>
          <w:rFonts w:ascii="Times New Roman" w:hAnsi="Times New Roman"/>
          <w:sz w:val="28"/>
          <w:szCs w:val="28"/>
        </w:rPr>
        <w:t xml:space="preserve"> (Hrsg.): Michel Foucault: </w:t>
      </w:r>
      <w:r w:rsidRPr="00532D1A">
        <w:rPr>
          <w:rFonts w:ascii="Times New Roman" w:hAnsi="Times New Roman"/>
          <w:i/>
          <w:iCs/>
          <w:sz w:val="28"/>
          <w:szCs w:val="28"/>
        </w:rPr>
        <w:t>Jenseits von Strukturalismus und Hermeneutik</w:t>
      </w:r>
      <w:r w:rsidRPr="00532D1A">
        <w:rPr>
          <w:rFonts w:ascii="Times New Roman" w:hAnsi="Times New Roman"/>
          <w:sz w:val="28"/>
          <w:szCs w:val="28"/>
        </w:rPr>
        <w:t>. Frankfurt/M. 1987, 241-261].</w:t>
      </w:r>
    </w:p>
    <w:p w14:paraId="6DE9950E" w14:textId="77777777" w:rsidR="00BC12C9" w:rsidRPr="00532D1A" w:rsidRDefault="00BC12C9"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rPr>
        <w:t xml:space="preserve">Freud, Sigmund (1915): „Zeitgemäßes über Krieg und Tod“. GW X, 323-355. </w:t>
      </w:r>
    </w:p>
    <w:p w14:paraId="4608AB60" w14:textId="2FA1D15C" w:rsidR="00F97992" w:rsidRPr="00532D1A" w:rsidRDefault="00F97992"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rPr>
        <w:t xml:space="preserve">Freud, Sigmund (1933): </w:t>
      </w:r>
      <w:r w:rsidRPr="00532D1A">
        <w:rPr>
          <w:rFonts w:ascii="Times New Roman" w:hAnsi="Times New Roman"/>
          <w:sz w:val="28"/>
          <w:szCs w:val="28"/>
          <w:shd w:val="clear" w:color="auto" w:fill="FFFFFF"/>
        </w:rPr>
        <w:t>Warum Krieg? GW XVI, 11-27</w:t>
      </w:r>
    </w:p>
    <w:p w14:paraId="5198407A" w14:textId="77777777" w:rsidR="00EC6EF2" w:rsidRPr="00532D1A" w:rsidRDefault="00EC6EF2" w:rsidP="006B3C54">
      <w:pPr>
        <w:spacing w:after="240" w:line="276" w:lineRule="auto"/>
        <w:rPr>
          <w:rFonts w:ascii="Times New Roman" w:hAnsi="Times New Roman"/>
          <w:sz w:val="28"/>
          <w:szCs w:val="28"/>
        </w:rPr>
      </w:pPr>
      <w:r w:rsidRPr="00532D1A">
        <w:rPr>
          <w:rFonts w:ascii="Times New Roman" w:hAnsi="Times New Roman"/>
          <w:sz w:val="28"/>
          <w:szCs w:val="28"/>
        </w:rPr>
        <w:t>Freud, Sigmund (1920). Über Kriegsneurosen, Elektrotherapie und Psychoanalyse. Auszug aus dem Protokoll des Untersuchungsverfahrens gegen Wagner-</w:t>
      </w:r>
      <w:proofErr w:type="spellStart"/>
      <w:r w:rsidRPr="00532D1A">
        <w:rPr>
          <w:rFonts w:ascii="Times New Roman" w:hAnsi="Times New Roman"/>
          <w:sz w:val="28"/>
          <w:szCs w:val="28"/>
        </w:rPr>
        <w:t>Jauregg</w:t>
      </w:r>
      <w:proofErr w:type="spellEnd"/>
      <w:r w:rsidRPr="00532D1A">
        <w:rPr>
          <w:rFonts w:ascii="Times New Roman" w:hAnsi="Times New Roman"/>
          <w:sz w:val="28"/>
          <w:szCs w:val="28"/>
        </w:rPr>
        <w:t xml:space="preserve"> im Oktober 1920. Psyche 26,1972,939-951</w:t>
      </w:r>
    </w:p>
    <w:p w14:paraId="3FB1EB51" w14:textId="4B49A4CF" w:rsidR="00506F2A" w:rsidRPr="00532D1A" w:rsidRDefault="002D0B74" w:rsidP="00506F2A">
      <w:pPr>
        <w:spacing w:before="100" w:beforeAutospacing="1" w:after="100" w:afterAutospacing="1" w:line="240" w:lineRule="auto"/>
        <w:outlineLvl w:val="1"/>
        <w:rPr>
          <w:rFonts w:ascii="Times New Roman" w:eastAsia="Times New Roman" w:hAnsi="Times New Roman"/>
          <w:sz w:val="28"/>
          <w:szCs w:val="28"/>
        </w:rPr>
      </w:pPr>
      <w:r w:rsidRPr="00532D1A">
        <w:rPr>
          <w:rFonts w:ascii="Times New Roman" w:eastAsia="Times New Roman" w:hAnsi="Times New Roman"/>
          <w:sz w:val="28"/>
          <w:szCs w:val="28"/>
        </w:rPr>
        <w:t xml:space="preserve">Hudson, </w:t>
      </w:r>
      <w:r w:rsidR="00506F2A" w:rsidRPr="00532D1A">
        <w:rPr>
          <w:rFonts w:ascii="Times New Roman" w:eastAsia="Times New Roman" w:hAnsi="Times New Roman"/>
          <w:sz w:val="28"/>
          <w:szCs w:val="28"/>
        </w:rPr>
        <w:t xml:space="preserve">Michael </w:t>
      </w:r>
      <w:r w:rsidRPr="00532D1A">
        <w:rPr>
          <w:rFonts w:ascii="Times New Roman" w:eastAsia="Times New Roman" w:hAnsi="Times New Roman"/>
          <w:sz w:val="28"/>
          <w:szCs w:val="28"/>
        </w:rPr>
        <w:t xml:space="preserve">(2022): </w:t>
      </w:r>
      <w:r w:rsidR="00506F2A" w:rsidRPr="00532D1A">
        <w:rPr>
          <w:rFonts w:ascii="Times New Roman" w:eastAsia="Times New Roman" w:hAnsi="Times New Roman"/>
          <w:sz w:val="28"/>
          <w:szCs w:val="28"/>
        </w:rPr>
        <w:t>Deutschlands Position in Amerikas neuer Weltordnung</w:t>
      </w:r>
      <w:r w:rsidRPr="00532D1A">
        <w:rPr>
          <w:rFonts w:ascii="Times New Roman" w:eastAsia="Times New Roman" w:hAnsi="Times New Roman"/>
          <w:sz w:val="28"/>
          <w:szCs w:val="28"/>
        </w:rPr>
        <w:t xml:space="preserve">. </w:t>
      </w:r>
      <w:r w:rsidR="00506F2A" w:rsidRPr="00532D1A">
        <w:rPr>
          <w:rFonts w:ascii="Times New Roman" w:eastAsia="Times New Roman" w:hAnsi="Times New Roman"/>
          <w:sz w:val="28"/>
          <w:szCs w:val="28"/>
        </w:rPr>
        <w:t xml:space="preserve">Nachdenkseiten 08. Dezember 2022 </w:t>
      </w:r>
    </w:p>
    <w:p w14:paraId="4AB169C7" w14:textId="5EA3744F" w:rsidR="003A0A01" w:rsidRPr="00532D1A" w:rsidRDefault="003A0A01" w:rsidP="00506F2A">
      <w:pPr>
        <w:pStyle w:val="Funotentext"/>
        <w:spacing w:after="240" w:line="276" w:lineRule="auto"/>
        <w:rPr>
          <w:rFonts w:ascii="Times New Roman" w:hAnsi="Times New Roman"/>
          <w:sz w:val="28"/>
          <w:szCs w:val="28"/>
        </w:rPr>
      </w:pPr>
      <w:r w:rsidRPr="00532D1A">
        <w:rPr>
          <w:rFonts w:ascii="Times New Roman" w:hAnsi="Times New Roman"/>
          <w:sz w:val="28"/>
          <w:szCs w:val="28"/>
        </w:rPr>
        <w:t xml:space="preserve">Lacan, Jacques (1953-54). </w:t>
      </w:r>
      <w:r w:rsidRPr="00532D1A">
        <w:rPr>
          <w:rFonts w:ascii="Times New Roman" w:hAnsi="Times New Roman"/>
          <w:i/>
          <w:iCs/>
          <w:sz w:val="28"/>
          <w:szCs w:val="28"/>
        </w:rPr>
        <w:t>Freuds technische Schriften</w:t>
      </w:r>
      <w:r w:rsidRPr="00532D1A">
        <w:rPr>
          <w:rFonts w:ascii="Times New Roman" w:hAnsi="Times New Roman"/>
          <w:sz w:val="28"/>
          <w:szCs w:val="28"/>
        </w:rPr>
        <w:t xml:space="preserve"> [</w:t>
      </w:r>
      <w:r w:rsidRPr="00532D1A">
        <w:rPr>
          <w:rFonts w:ascii="Times New Roman" w:hAnsi="Times New Roman"/>
          <w:i/>
          <w:iCs/>
          <w:sz w:val="28"/>
          <w:szCs w:val="28"/>
        </w:rPr>
        <w:t>Das Seminar, Bd. I.</w:t>
      </w:r>
      <w:r w:rsidRPr="00532D1A">
        <w:rPr>
          <w:rFonts w:ascii="Times New Roman" w:hAnsi="Times New Roman"/>
          <w:sz w:val="28"/>
          <w:szCs w:val="28"/>
        </w:rPr>
        <w:t xml:space="preserve"> Olten/Freiburg: Walter 1978 ff.; Weinheim/Berlin: Quadriga 1986 ff.; Wien: Turia + Kant 2000 ff.; Wien: Passagen 2007f.]; </w:t>
      </w:r>
    </w:p>
    <w:p w14:paraId="1333D388" w14:textId="77777777" w:rsidR="003A0A01" w:rsidRPr="00532D1A" w:rsidRDefault="003A0A01" w:rsidP="006B3C54">
      <w:pPr>
        <w:pStyle w:val="Funotentext"/>
        <w:spacing w:after="240" w:line="276" w:lineRule="auto"/>
        <w:rPr>
          <w:rFonts w:ascii="Times New Roman" w:hAnsi="Times New Roman"/>
          <w:sz w:val="28"/>
          <w:szCs w:val="28"/>
        </w:rPr>
      </w:pPr>
      <w:r w:rsidRPr="00532D1A">
        <w:rPr>
          <w:rFonts w:ascii="Times New Roman" w:hAnsi="Times New Roman"/>
          <w:sz w:val="28"/>
          <w:szCs w:val="28"/>
        </w:rPr>
        <w:lastRenderedPageBreak/>
        <w:t xml:space="preserve">Milgram, Stanley (1974) The </w:t>
      </w:r>
      <w:proofErr w:type="spellStart"/>
      <w:r w:rsidRPr="00532D1A">
        <w:rPr>
          <w:rFonts w:ascii="Times New Roman" w:hAnsi="Times New Roman"/>
          <w:sz w:val="28"/>
          <w:szCs w:val="28"/>
        </w:rPr>
        <w:t>Perils</w:t>
      </w:r>
      <w:proofErr w:type="spellEnd"/>
      <w:r w:rsidRPr="00532D1A">
        <w:rPr>
          <w:rFonts w:ascii="Times New Roman" w:hAnsi="Times New Roman"/>
          <w:sz w:val="28"/>
          <w:szCs w:val="28"/>
        </w:rPr>
        <w:t xml:space="preserve"> </w:t>
      </w:r>
      <w:proofErr w:type="spellStart"/>
      <w:r w:rsidRPr="00532D1A">
        <w:rPr>
          <w:rFonts w:ascii="Times New Roman" w:hAnsi="Times New Roman"/>
          <w:sz w:val="28"/>
          <w:szCs w:val="28"/>
        </w:rPr>
        <w:t>of</w:t>
      </w:r>
      <w:proofErr w:type="spellEnd"/>
      <w:r w:rsidRPr="00532D1A">
        <w:rPr>
          <w:rFonts w:ascii="Times New Roman" w:hAnsi="Times New Roman"/>
          <w:sz w:val="28"/>
          <w:szCs w:val="28"/>
        </w:rPr>
        <w:t xml:space="preserve"> </w:t>
      </w:r>
      <w:proofErr w:type="spellStart"/>
      <w:r w:rsidRPr="00532D1A">
        <w:rPr>
          <w:rFonts w:ascii="Times New Roman" w:hAnsi="Times New Roman"/>
          <w:sz w:val="28"/>
          <w:szCs w:val="28"/>
        </w:rPr>
        <w:t>Obedience</w:t>
      </w:r>
      <w:proofErr w:type="spellEnd"/>
      <w:r w:rsidRPr="00532D1A">
        <w:rPr>
          <w:rFonts w:ascii="Times New Roman" w:hAnsi="Times New Roman"/>
          <w:sz w:val="28"/>
          <w:szCs w:val="28"/>
        </w:rPr>
        <w:t xml:space="preserve">. In: </w:t>
      </w:r>
      <w:proofErr w:type="spellStart"/>
      <w:r w:rsidRPr="00532D1A">
        <w:rPr>
          <w:rFonts w:ascii="Times New Roman" w:hAnsi="Times New Roman"/>
          <w:i/>
          <w:iCs/>
          <w:sz w:val="28"/>
          <w:szCs w:val="28"/>
        </w:rPr>
        <w:t>Harper’s</w:t>
      </w:r>
      <w:proofErr w:type="spellEnd"/>
      <w:r w:rsidRPr="00532D1A">
        <w:rPr>
          <w:rFonts w:ascii="Times New Roman" w:hAnsi="Times New Roman"/>
          <w:i/>
          <w:iCs/>
          <w:sz w:val="28"/>
          <w:szCs w:val="28"/>
        </w:rPr>
        <w:t xml:space="preserve"> Magazine.</w:t>
      </w:r>
      <w:r w:rsidRPr="00532D1A">
        <w:rPr>
          <w:rFonts w:ascii="Times New Roman" w:hAnsi="Times New Roman"/>
          <w:sz w:val="28"/>
          <w:szCs w:val="28"/>
        </w:rPr>
        <w:t xml:space="preserve"> 1974.</w:t>
      </w:r>
    </w:p>
    <w:p w14:paraId="56B04739" w14:textId="3D85526A" w:rsidR="00BC12C9" w:rsidRPr="00532D1A" w:rsidRDefault="00BC12C9" w:rsidP="006B3C54">
      <w:pPr>
        <w:pStyle w:val="KeinLeerraum"/>
        <w:spacing w:after="240" w:line="276" w:lineRule="auto"/>
        <w:rPr>
          <w:rFonts w:ascii="Times New Roman" w:hAnsi="Times New Roman"/>
          <w:sz w:val="28"/>
          <w:szCs w:val="28"/>
        </w:rPr>
      </w:pPr>
      <w:r w:rsidRPr="00532D1A">
        <w:rPr>
          <w:rFonts w:ascii="Times New Roman" w:hAnsi="Times New Roman"/>
          <w:sz w:val="28"/>
          <w:szCs w:val="28"/>
        </w:rPr>
        <w:t xml:space="preserve">Mitscherlich, Alexander (1963): Auf dem </w:t>
      </w:r>
      <w:r w:rsidRPr="00532D1A">
        <w:rPr>
          <w:rFonts w:ascii="Times New Roman" w:hAnsi="Times New Roman"/>
          <w:b/>
          <w:bCs/>
          <w:sz w:val="28"/>
          <w:szCs w:val="28"/>
        </w:rPr>
        <w:t>Weg zur vaterlosen Gesellschaft</w:t>
      </w:r>
      <w:r w:rsidRPr="00532D1A">
        <w:rPr>
          <w:rFonts w:ascii="Times New Roman" w:hAnsi="Times New Roman"/>
          <w:sz w:val="28"/>
          <w:szCs w:val="28"/>
        </w:rPr>
        <w:t xml:space="preserve">: </w:t>
      </w:r>
      <w:r w:rsidRPr="00532D1A">
        <w:rPr>
          <w:rFonts w:ascii="Times New Roman" w:hAnsi="Times New Roman"/>
          <w:b/>
          <w:bCs/>
          <w:sz w:val="28"/>
          <w:szCs w:val="28"/>
        </w:rPr>
        <w:t>Ideen zur Sozialpsychologie.</w:t>
      </w:r>
      <w:r w:rsidRPr="00532D1A">
        <w:rPr>
          <w:rFonts w:ascii="Times New Roman" w:hAnsi="Times New Roman"/>
          <w:sz w:val="28"/>
          <w:szCs w:val="28"/>
        </w:rPr>
        <w:t xml:space="preserve"> München </w:t>
      </w:r>
    </w:p>
    <w:p w14:paraId="05CDE67E" w14:textId="361CF712" w:rsidR="003A0A01" w:rsidRPr="00532D1A" w:rsidRDefault="003A0A01" w:rsidP="006B3C54">
      <w:pPr>
        <w:spacing w:after="240" w:line="276" w:lineRule="auto"/>
        <w:rPr>
          <w:rFonts w:ascii="Times New Roman" w:hAnsi="Times New Roman"/>
          <w:sz w:val="28"/>
          <w:szCs w:val="28"/>
        </w:rPr>
      </w:pPr>
      <w:r w:rsidRPr="00532D1A">
        <w:rPr>
          <w:rFonts w:ascii="Times New Roman" w:hAnsi="Times New Roman"/>
          <w:sz w:val="28"/>
          <w:szCs w:val="28"/>
        </w:rPr>
        <w:t xml:space="preserve">Schwab, Klaus &amp; Thierry </w:t>
      </w:r>
      <w:proofErr w:type="spellStart"/>
      <w:r w:rsidRPr="00532D1A">
        <w:rPr>
          <w:rFonts w:ascii="Times New Roman" w:hAnsi="Times New Roman"/>
          <w:sz w:val="28"/>
          <w:szCs w:val="28"/>
        </w:rPr>
        <w:t>Malleret</w:t>
      </w:r>
      <w:proofErr w:type="spellEnd"/>
      <w:r w:rsidRPr="00532D1A">
        <w:rPr>
          <w:rFonts w:ascii="Times New Roman" w:hAnsi="Times New Roman"/>
          <w:sz w:val="28"/>
          <w:szCs w:val="28"/>
        </w:rPr>
        <w:t xml:space="preserve"> (2020) </w:t>
      </w:r>
      <w:r w:rsidRPr="00532D1A">
        <w:rPr>
          <w:rFonts w:ascii="Times New Roman" w:hAnsi="Times New Roman"/>
          <w:i/>
          <w:iCs/>
          <w:sz w:val="28"/>
          <w:szCs w:val="28"/>
        </w:rPr>
        <w:t xml:space="preserve">Covid-19: The Great </w:t>
      </w:r>
      <w:proofErr w:type="spellStart"/>
      <w:r w:rsidRPr="00532D1A">
        <w:rPr>
          <w:rFonts w:ascii="Times New Roman" w:hAnsi="Times New Roman"/>
          <w:i/>
          <w:iCs/>
          <w:sz w:val="28"/>
          <w:szCs w:val="28"/>
        </w:rPr>
        <w:t>Reset</w:t>
      </w:r>
      <w:proofErr w:type="spellEnd"/>
      <w:r w:rsidRPr="00532D1A">
        <w:rPr>
          <w:rFonts w:ascii="Times New Roman" w:hAnsi="Times New Roman"/>
          <w:i/>
          <w:iCs/>
          <w:sz w:val="28"/>
          <w:szCs w:val="28"/>
        </w:rPr>
        <w:t xml:space="preserve"> </w:t>
      </w:r>
      <w:r w:rsidRPr="00532D1A">
        <w:rPr>
          <w:rFonts w:ascii="Times New Roman" w:hAnsi="Times New Roman"/>
          <w:sz w:val="28"/>
          <w:szCs w:val="28"/>
        </w:rPr>
        <w:t>(Geneva: WEF, 2020).</w:t>
      </w:r>
    </w:p>
    <w:p w14:paraId="1884B457" w14:textId="77777777" w:rsidR="003A0A01" w:rsidRPr="00532D1A" w:rsidRDefault="003A0A01" w:rsidP="006B3C54">
      <w:pPr>
        <w:spacing w:after="240" w:line="276" w:lineRule="auto"/>
        <w:rPr>
          <w:rFonts w:ascii="Times New Roman" w:hAnsi="Times New Roman"/>
          <w:sz w:val="28"/>
          <w:szCs w:val="28"/>
        </w:rPr>
      </w:pPr>
      <w:proofErr w:type="spellStart"/>
      <w:r w:rsidRPr="00532D1A">
        <w:rPr>
          <w:rStyle w:val="Hyperlink"/>
          <w:rFonts w:ascii="Times New Roman" w:hAnsi="Times New Roman"/>
          <w:color w:val="auto"/>
          <w:sz w:val="28"/>
          <w:szCs w:val="28"/>
        </w:rPr>
        <w:t>Wollbold</w:t>
      </w:r>
      <w:proofErr w:type="spellEnd"/>
      <w:r w:rsidRPr="00532D1A">
        <w:rPr>
          <w:rStyle w:val="Hyperlink"/>
          <w:rFonts w:ascii="Times New Roman" w:hAnsi="Times New Roman"/>
          <w:color w:val="auto"/>
          <w:sz w:val="28"/>
          <w:szCs w:val="28"/>
        </w:rPr>
        <w:t xml:space="preserve">, Johannes </w:t>
      </w:r>
      <w:r w:rsidRPr="00532D1A">
        <w:rPr>
          <w:rFonts w:ascii="Times New Roman" w:hAnsi="Times New Roman"/>
          <w:sz w:val="28"/>
          <w:szCs w:val="28"/>
        </w:rPr>
        <w:t xml:space="preserve">(2020). </w:t>
      </w:r>
      <w:r w:rsidRPr="00532D1A">
        <w:rPr>
          <w:rFonts w:ascii="Times New Roman" w:eastAsia="Times New Roman" w:hAnsi="Times New Roman"/>
          <w:i/>
          <w:iCs/>
          <w:sz w:val="28"/>
          <w:szCs w:val="28"/>
        </w:rPr>
        <w:t>Fatale Manipulation</w:t>
      </w:r>
      <w:r w:rsidRPr="00532D1A">
        <w:rPr>
          <w:rFonts w:ascii="Times New Roman" w:eastAsia="Times New Roman" w:hAnsi="Times New Roman"/>
          <w:sz w:val="28"/>
          <w:szCs w:val="28"/>
        </w:rPr>
        <w:t xml:space="preserve">. Die Mächtigen versuchen, uns die sinkende Zahl der Covid-19-Neuerkrankungen als Erfolg ihrer wirkungslosen Zwangsmaßnahmen zu verkaufen. </w:t>
      </w:r>
      <w:hyperlink r:id="rId9" w:history="1">
        <w:r w:rsidRPr="00532D1A">
          <w:rPr>
            <w:rStyle w:val="Hyperlink"/>
            <w:rFonts w:ascii="Times New Roman" w:hAnsi="Times New Roman"/>
            <w:color w:val="auto"/>
            <w:sz w:val="28"/>
            <w:szCs w:val="28"/>
          </w:rPr>
          <w:t>https://www.rubikon.news/artikel/fatale-manipulation</w:t>
        </w:r>
      </w:hyperlink>
    </w:p>
    <w:p w14:paraId="4D0277FA" w14:textId="77777777" w:rsidR="003A0A01" w:rsidRPr="00532D1A" w:rsidRDefault="003A0A01" w:rsidP="006B3C54">
      <w:pPr>
        <w:spacing w:after="240" w:line="276" w:lineRule="auto"/>
        <w:rPr>
          <w:rFonts w:ascii="Times New Roman" w:hAnsi="Times New Roman"/>
          <w:sz w:val="28"/>
          <w:szCs w:val="28"/>
        </w:rPr>
      </w:pPr>
    </w:p>
    <w:p w14:paraId="03F46726" w14:textId="77777777" w:rsidR="003A0A01" w:rsidRPr="00532D1A" w:rsidRDefault="003A0A01" w:rsidP="006B3C54">
      <w:pPr>
        <w:spacing w:line="276" w:lineRule="auto"/>
        <w:rPr>
          <w:rFonts w:ascii="Times New Roman" w:hAnsi="Times New Roman"/>
          <w:sz w:val="28"/>
          <w:szCs w:val="28"/>
        </w:rPr>
      </w:pPr>
    </w:p>
    <w:sectPr w:rsidR="003A0A01" w:rsidRPr="00532D1A" w:rsidSect="00CF745E">
      <w:headerReference w:type="even" r:id="rId10"/>
      <w:headerReference w:type="default" r:id="rId11"/>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4C06" w14:textId="77777777" w:rsidR="00AC5FBA" w:rsidRDefault="00AC5FBA" w:rsidP="003A0A01">
      <w:pPr>
        <w:spacing w:after="0" w:line="240" w:lineRule="auto"/>
      </w:pPr>
      <w:r>
        <w:separator/>
      </w:r>
    </w:p>
  </w:endnote>
  <w:endnote w:type="continuationSeparator" w:id="0">
    <w:p w14:paraId="412C536B" w14:textId="77777777" w:rsidR="00AC5FBA" w:rsidRDefault="00AC5FBA" w:rsidP="003A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Italic">
    <w:altName w:val="Gill Sans M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3F19" w14:textId="77777777" w:rsidR="00AC5FBA" w:rsidRDefault="00AC5FBA" w:rsidP="003A0A01">
      <w:pPr>
        <w:spacing w:after="0" w:line="240" w:lineRule="auto"/>
      </w:pPr>
      <w:r>
        <w:separator/>
      </w:r>
    </w:p>
  </w:footnote>
  <w:footnote w:type="continuationSeparator" w:id="0">
    <w:p w14:paraId="462499F4" w14:textId="77777777" w:rsidR="00AC5FBA" w:rsidRDefault="00AC5FBA" w:rsidP="003A0A01">
      <w:pPr>
        <w:spacing w:after="0" w:line="240" w:lineRule="auto"/>
      </w:pPr>
      <w:r>
        <w:continuationSeparator/>
      </w:r>
    </w:p>
  </w:footnote>
  <w:footnote w:id="1">
    <w:p w14:paraId="39A2E662" w14:textId="77777777" w:rsidR="00273C4E" w:rsidRPr="00A441BF" w:rsidRDefault="00273C4E" w:rsidP="00273C4E">
      <w:pPr>
        <w:spacing w:after="0" w:line="240" w:lineRule="auto"/>
        <w:rPr>
          <w:rFonts w:ascii="Arial" w:eastAsiaTheme="minorHAnsi" w:hAnsi="Arial" w:cs="Arial"/>
          <w:sz w:val="18"/>
          <w:szCs w:val="18"/>
        </w:rPr>
      </w:pPr>
      <w:r w:rsidRPr="00A441BF">
        <w:rPr>
          <w:rStyle w:val="Funotenzeichen"/>
          <w:rFonts w:ascii="Arial" w:hAnsi="Arial" w:cs="Arial"/>
          <w:sz w:val="18"/>
          <w:szCs w:val="18"/>
        </w:rPr>
        <w:footnoteRef/>
      </w:r>
      <w:r w:rsidRPr="00A441BF">
        <w:rPr>
          <w:rFonts w:ascii="Arial" w:hAnsi="Arial" w:cs="Arial"/>
          <w:sz w:val="18"/>
          <w:szCs w:val="18"/>
        </w:rPr>
        <w:t xml:space="preserve"> </w:t>
      </w:r>
      <w:hyperlink r:id="rId1" w:history="1">
        <w:r w:rsidRPr="00A441BF">
          <w:rPr>
            <w:rStyle w:val="Hyperlink"/>
            <w:rFonts w:ascii="Arial" w:hAnsi="Arial" w:cs="Arial"/>
            <w:color w:val="auto"/>
            <w:sz w:val="18"/>
            <w:szCs w:val="18"/>
          </w:rPr>
          <w:t>https://netzpolitik.org/2020/bnd-gesetz-ausspaehen-unter-freunden-wird-legalisiert-und-ausgeweitet/?utm_source=pocket-newtab-global-de-DE</w:t>
        </w:r>
      </w:hyperlink>
      <w:r w:rsidRPr="00A441B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8B82" w14:textId="77777777" w:rsidR="00B414A7" w:rsidRDefault="0045392C">
    <w:pPr>
      <w:pStyle w:val="Kopfzeile"/>
    </w:pPr>
    <w:r>
      <w:t xml:space="preserve">                                                                                                                                       </w:t>
    </w:r>
    <w:r>
      <w:fldChar w:fldCharType="begin"/>
    </w:r>
    <w:r>
      <w:instrText>PAGE   \* MERGEFORMAT</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1324" w14:textId="4A8B1137" w:rsidR="00F66A14" w:rsidRPr="00AC34EA" w:rsidRDefault="00000000" w:rsidP="00DB3A49">
    <w:pPr>
      <w:spacing w:line="276" w:lineRule="auto"/>
    </w:pPr>
    <w:fldSimple w:instr=" FILENAME   \* MERGEFORMAT ">
      <w:r w:rsidR="00AC34EA">
        <w:rPr>
          <w:noProof/>
        </w:rPr>
        <w:t>VIER_KJB_22.12._Wie war es möglich -Psychologische Überlegungen zur Pandemie Inszenierung.docx</w:t>
      </w:r>
    </w:fldSimple>
    <w:r w:rsidR="00AC34EA">
      <w:br/>
      <w:t xml:space="preserve">                                                                                                                                                                                 </w:t>
    </w:r>
    <w:r w:rsidR="00F66A14">
      <w:fldChar w:fldCharType="begin"/>
    </w:r>
    <w:r w:rsidR="00F66A14">
      <w:instrText>PAGE   \* MERGEFORMAT</w:instrText>
    </w:r>
    <w:r w:rsidR="00F66A14">
      <w:fldChar w:fldCharType="separate"/>
    </w:r>
    <w:r w:rsidR="00F66A14">
      <w:t>1</w:t>
    </w:r>
    <w:r w:rsidR="00F66A14">
      <w:fldChar w:fldCharType="end"/>
    </w:r>
  </w:p>
  <w:p w14:paraId="02B25EB1" w14:textId="208EE8F7" w:rsidR="00C56A17"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665B07-4BBD-4BDF-9AC2-8A7AAE16A6BC}"/>
    <w:docVar w:name="dgnword-eventsink" w:val="421354632"/>
  </w:docVars>
  <w:rsids>
    <w:rsidRoot w:val="003A0A01"/>
    <w:rsid w:val="00002485"/>
    <w:rsid w:val="000500AC"/>
    <w:rsid w:val="000605A7"/>
    <w:rsid w:val="000631E6"/>
    <w:rsid w:val="00066C34"/>
    <w:rsid w:val="000772C4"/>
    <w:rsid w:val="000A1FED"/>
    <w:rsid w:val="000E6CAB"/>
    <w:rsid w:val="000F0271"/>
    <w:rsid w:val="001C379D"/>
    <w:rsid w:val="001F5674"/>
    <w:rsid w:val="00210342"/>
    <w:rsid w:val="00273C4E"/>
    <w:rsid w:val="00296A4A"/>
    <w:rsid w:val="002D00BE"/>
    <w:rsid w:val="002D0B74"/>
    <w:rsid w:val="00340AA2"/>
    <w:rsid w:val="003A0A01"/>
    <w:rsid w:val="00452FEA"/>
    <w:rsid w:val="0045392C"/>
    <w:rsid w:val="00474136"/>
    <w:rsid w:val="00476A08"/>
    <w:rsid w:val="0049407F"/>
    <w:rsid w:val="004B0BCE"/>
    <w:rsid w:val="00506F2A"/>
    <w:rsid w:val="00532D1A"/>
    <w:rsid w:val="00540F45"/>
    <w:rsid w:val="00594128"/>
    <w:rsid w:val="005E659F"/>
    <w:rsid w:val="00654667"/>
    <w:rsid w:val="00671068"/>
    <w:rsid w:val="00691090"/>
    <w:rsid w:val="006B3C54"/>
    <w:rsid w:val="006B7865"/>
    <w:rsid w:val="00730175"/>
    <w:rsid w:val="00754A24"/>
    <w:rsid w:val="00756CFF"/>
    <w:rsid w:val="007A0F88"/>
    <w:rsid w:val="007B5045"/>
    <w:rsid w:val="007E5DF0"/>
    <w:rsid w:val="00803705"/>
    <w:rsid w:val="00806398"/>
    <w:rsid w:val="00830AD3"/>
    <w:rsid w:val="00843B82"/>
    <w:rsid w:val="00867935"/>
    <w:rsid w:val="008759C5"/>
    <w:rsid w:val="008C7372"/>
    <w:rsid w:val="009062C0"/>
    <w:rsid w:val="0093382F"/>
    <w:rsid w:val="00934299"/>
    <w:rsid w:val="009400F8"/>
    <w:rsid w:val="00996E6F"/>
    <w:rsid w:val="00A441BF"/>
    <w:rsid w:val="00A50DF1"/>
    <w:rsid w:val="00A70B92"/>
    <w:rsid w:val="00A8291E"/>
    <w:rsid w:val="00AA2F81"/>
    <w:rsid w:val="00AB4773"/>
    <w:rsid w:val="00AC34EA"/>
    <w:rsid w:val="00AC5FBA"/>
    <w:rsid w:val="00AE1842"/>
    <w:rsid w:val="00B07042"/>
    <w:rsid w:val="00B30957"/>
    <w:rsid w:val="00B671AB"/>
    <w:rsid w:val="00B7335B"/>
    <w:rsid w:val="00B74BF2"/>
    <w:rsid w:val="00B9003B"/>
    <w:rsid w:val="00BC12C9"/>
    <w:rsid w:val="00C079FC"/>
    <w:rsid w:val="00C2321A"/>
    <w:rsid w:val="00CF567F"/>
    <w:rsid w:val="00CF745E"/>
    <w:rsid w:val="00D24CF2"/>
    <w:rsid w:val="00D31266"/>
    <w:rsid w:val="00D330EC"/>
    <w:rsid w:val="00D6214E"/>
    <w:rsid w:val="00D732A2"/>
    <w:rsid w:val="00DB3A49"/>
    <w:rsid w:val="00DC47A3"/>
    <w:rsid w:val="00DD30C4"/>
    <w:rsid w:val="00DE022D"/>
    <w:rsid w:val="00DF7813"/>
    <w:rsid w:val="00E42B7C"/>
    <w:rsid w:val="00EB4A1C"/>
    <w:rsid w:val="00EC6EF2"/>
    <w:rsid w:val="00EE0344"/>
    <w:rsid w:val="00EE775E"/>
    <w:rsid w:val="00EF7806"/>
    <w:rsid w:val="00F562A4"/>
    <w:rsid w:val="00F66A14"/>
    <w:rsid w:val="00F86FEA"/>
    <w:rsid w:val="00F97992"/>
    <w:rsid w:val="00FC2B91"/>
    <w:rsid w:val="00FC6F6F"/>
    <w:rsid w:val="00FF2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00DA"/>
  <w15:chartTrackingRefBased/>
  <w15:docId w15:val="{C91F71D1-B3E1-4BBC-B9ED-A0E8FCF5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0A01"/>
    <w:rPr>
      <w:rFonts w:eastAsiaTheme="minorEastAsia" w:cs="Times New Roman"/>
      <w:lang w:eastAsia="de-DE"/>
    </w:rPr>
  </w:style>
  <w:style w:type="paragraph" w:styleId="berschrift1">
    <w:name w:val="heading 1"/>
    <w:basedOn w:val="Standard"/>
    <w:link w:val="berschrift1Zchn"/>
    <w:uiPriority w:val="9"/>
    <w:qFormat/>
    <w:rsid w:val="003A0A0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erschrift3">
    <w:name w:val="heading 3"/>
    <w:basedOn w:val="Standard"/>
    <w:next w:val="Standard"/>
    <w:link w:val="berschrift3Zchn"/>
    <w:uiPriority w:val="9"/>
    <w:semiHidden/>
    <w:unhideWhenUsed/>
    <w:qFormat/>
    <w:rsid w:val="00506F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0A01"/>
    <w:rPr>
      <w:rFonts w:ascii="Times New Roman" w:eastAsia="Times New Roman" w:hAnsi="Times New Roman" w:cs="Times New Roman"/>
      <w:b/>
      <w:bCs/>
      <w:kern w:val="36"/>
      <w:sz w:val="48"/>
      <w:szCs w:val="48"/>
      <w:lang w:eastAsia="de-DE"/>
    </w:rPr>
  </w:style>
  <w:style w:type="paragraph" w:styleId="Funotentext">
    <w:name w:val="footnote text"/>
    <w:basedOn w:val="Standard"/>
    <w:link w:val="FunotentextZchn"/>
    <w:unhideWhenUsed/>
    <w:rsid w:val="003A0A01"/>
    <w:pPr>
      <w:spacing w:after="0" w:line="240" w:lineRule="auto"/>
    </w:pPr>
    <w:rPr>
      <w:sz w:val="20"/>
      <w:szCs w:val="20"/>
    </w:rPr>
  </w:style>
  <w:style w:type="character" w:customStyle="1" w:styleId="FunotentextZchn">
    <w:name w:val="Fußnotentext Zchn"/>
    <w:basedOn w:val="Absatz-Standardschriftart"/>
    <w:link w:val="Funotentext"/>
    <w:rsid w:val="003A0A01"/>
    <w:rPr>
      <w:rFonts w:eastAsiaTheme="minorEastAsia" w:cs="Times New Roman"/>
      <w:sz w:val="20"/>
      <w:szCs w:val="20"/>
      <w:lang w:eastAsia="de-DE"/>
    </w:rPr>
  </w:style>
  <w:style w:type="character" w:styleId="Funotenzeichen">
    <w:name w:val="footnote reference"/>
    <w:basedOn w:val="Absatz-Standardschriftart"/>
    <w:uiPriority w:val="99"/>
    <w:semiHidden/>
    <w:unhideWhenUsed/>
    <w:rsid w:val="003A0A01"/>
    <w:rPr>
      <w:vertAlign w:val="superscript"/>
    </w:rPr>
  </w:style>
  <w:style w:type="character" w:styleId="Hyperlink">
    <w:name w:val="Hyperlink"/>
    <w:basedOn w:val="Absatz-Standardschriftart"/>
    <w:uiPriority w:val="99"/>
    <w:unhideWhenUsed/>
    <w:rsid w:val="003A0A01"/>
    <w:rPr>
      <w:color w:val="0000FF"/>
      <w:u w:val="single"/>
    </w:rPr>
  </w:style>
  <w:style w:type="paragraph" w:styleId="Textkrper">
    <w:name w:val="Body Text"/>
    <w:basedOn w:val="Standard"/>
    <w:link w:val="TextkrperZchn"/>
    <w:rsid w:val="003A0A01"/>
    <w:pPr>
      <w:spacing w:after="120" w:line="240" w:lineRule="auto"/>
    </w:pPr>
    <w:rPr>
      <w:rFonts w:ascii="Times New Roman" w:eastAsia="Times New Roman" w:hAnsi="Times New Roman"/>
      <w:sz w:val="20"/>
      <w:szCs w:val="20"/>
    </w:rPr>
  </w:style>
  <w:style w:type="character" w:customStyle="1" w:styleId="TextkrperZchn">
    <w:name w:val="Textkörper Zchn"/>
    <w:basedOn w:val="Absatz-Standardschriftart"/>
    <w:link w:val="Textkrper"/>
    <w:rsid w:val="003A0A01"/>
    <w:rPr>
      <w:rFonts w:ascii="Times New Roman" w:eastAsia="Times New Roman" w:hAnsi="Times New Roman" w:cs="Times New Roman"/>
      <w:sz w:val="20"/>
      <w:szCs w:val="20"/>
      <w:lang w:eastAsia="de-DE"/>
    </w:rPr>
  </w:style>
  <w:style w:type="paragraph" w:styleId="Textkrper2">
    <w:name w:val="Body Text 2"/>
    <w:basedOn w:val="Standard"/>
    <w:link w:val="Textkrper2Zchn"/>
    <w:rsid w:val="003A0A01"/>
    <w:pPr>
      <w:spacing w:after="120" w:line="480" w:lineRule="auto"/>
    </w:pPr>
    <w:rPr>
      <w:rFonts w:ascii="Times New Roman" w:eastAsia="Times New Roman" w:hAnsi="Times New Roman"/>
      <w:sz w:val="20"/>
      <w:szCs w:val="20"/>
    </w:rPr>
  </w:style>
  <w:style w:type="character" w:customStyle="1" w:styleId="Textkrper2Zchn">
    <w:name w:val="Textkörper 2 Zchn"/>
    <w:basedOn w:val="Absatz-Standardschriftart"/>
    <w:link w:val="Textkrper2"/>
    <w:rsid w:val="003A0A01"/>
    <w:rPr>
      <w:rFonts w:ascii="Times New Roman" w:eastAsia="Times New Roman" w:hAnsi="Times New Roman" w:cs="Times New Roman"/>
      <w:sz w:val="20"/>
      <w:szCs w:val="20"/>
      <w:lang w:eastAsia="de-DE"/>
    </w:rPr>
  </w:style>
  <w:style w:type="character" w:styleId="Hervorhebung">
    <w:name w:val="Emphasis"/>
    <w:basedOn w:val="Absatz-Standardschriftart"/>
    <w:uiPriority w:val="20"/>
    <w:qFormat/>
    <w:rsid w:val="003A0A01"/>
    <w:rPr>
      <w:i/>
      <w:iCs/>
    </w:rPr>
  </w:style>
  <w:style w:type="paragraph" w:styleId="Kopfzeile">
    <w:name w:val="header"/>
    <w:basedOn w:val="Standard"/>
    <w:link w:val="KopfzeileZchn"/>
    <w:uiPriority w:val="99"/>
    <w:unhideWhenUsed/>
    <w:rsid w:val="003A0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A01"/>
    <w:rPr>
      <w:rFonts w:eastAsiaTheme="minorEastAsia" w:cs="Times New Roman"/>
      <w:lang w:eastAsia="de-DE"/>
    </w:rPr>
  </w:style>
  <w:style w:type="paragraph" w:styleId="Fuzeile">
    <w:name w:val="footer"/>
    <w:basedOn w:val="Standard"/>
    <w:link w:val="FuzeileZchn"/>
    <w:uiPriority w:val="99"/>
    <w:unhideWhenUsed/>
    <w:rsid w:val="003A0A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A01"/>
    <w:rPr>
      <w:rFonts w:eastAsiaTheme="minorEastAsia" w:cs="Times New Roman"/>
      <w:lang w:eastAsia="de-DE"/>
    </w:rPr>
  </w:style>
  <w:style w:type="character" w:customStyle="1" w:styleId="bpa-teaser-title-text-inner">
    <w:name w:val="bpa-teaser-title-text-inner"/>
    <w:basedOn w:val="Absatz-Standardschriftart"/>
    <w:rsid w:val="003A0A01"/>
  </w:style>
  <w:style w:type="paragraph" w:styleId="StandardWeb">
    <w:name w:val="Normal (Web)"/>
    <w:basedOn w:val="Standard"/>
    <w:uiPriority w:val="99"/>
    <w:unhideWhenUsed/>
    <w:rsid w:val="003A0A01"/>
    <w:pPr>
      <w:spacing w:before="100" w:beforeAutospacing="1" w:after="100" w:afterAutospacing="1" w:line="240" w:lineRule="auto"/>
    </w:pPr>
    <w:rPr>
      <w:rFonts w:ascii="Times New Roman" w:eastAsia="Times New Roman" w:hAnsi="Times New Roman"/>
      <w:sz w:val="24"/>
      <w:szCs w:val="24"/>
    </w:rPr>
  </w:style>
  <w:style w:type="paragraph" w:styleId="KeinLeerraum">
    <w:name w:val="No Spacing"/>
    <w:uiPriority w:val="1"/>
    <w:qFormat/>
    <w:rsid w:val="003A0A01"/>
    <w:pPr>
      <w:spacing w:after="0" w:line="240" w:lineRule="auto"/>
    </w:pPr>
    <w:rPr>
      <w:rFonts w:eastAsiaTheme="minorEastAsia" w:cs="Times New Roman"/>
      <w:lang w:eastAsia="de-DE"/>
    </w:rPr>
  </w:style>
  <w:style w:type="paragraph" w:styleId="Endnotentext">
    <w:name w:val="endnote text"/>
    <w:basedOn w:val="Standard"/>
    <w:link w:val="EndnotentextZchn"/>
    <w:uiPriority w:val="99"/>
    <w:unhideWhenUsed/>
    <w:rsid w:val="003A0A01"/>
    <w:pPr>
      <w:spacing w:after="0" w:line="240" w:lineRule="auto"/>
    </w:pPr>
    <w:rPr>
      <w:sz w:val="20"/>
      <w:szCs w:val="20"/>
    </w:rPr>
  </w:style>
  <w:style w:type="character" w:customStyle="1" w:styleId="EndnotentextZchn">
    <w:name w:val="Endnotentext Zchn"/>
    <w:basedOn w:val="Absatz-Standardschriftart"/>
    <w:link w:val="Endnotentext"/>
    <w:uiPriority w:val="99"/>
    <w:rsid w:val="003A0A01"/>
    <w:rPr>
      <w:rFonts w:eastAsiaTheme="minorEastAsia" w:cs="Times New Roman"/>
      <w:sz w:val="20"/>
      <w:szCs w:val="20"/>
      <w:lang w:eastAsia="de-DE"/>
    </w:rPr>
  </w:style>
  <w:style w:type="character" w:customStyle="1" w:styleId="f">
    <w:name w:val="f"/>
    <w:basedOn w:val="Absatz-Standardschriftart"/>
    <w:rsid w:val="003A0A01"/>
  </w:style>
  <w:style w:type="character" w:customStyle="1" w:styleId="acopre">
    <w:name w:val="acopre"/>
    <w:basedOn w:val="Absatz-Standardschriftart"/>
    <w:rsid w:val="003A0A01"/>
  </w:style>
  <w:style w:type="character" w:customStyle="1" w:styleId="berschrift3Zchn">
    <w:name w:val="Überschrift 3 Zchn"/>
    <w:basedOn w:val="Absatz-Standardschriftart"/>
    <w:link w:val="berschrift3"/>
    <w:uiPriority w:val="9"/>
    <w:rsid w:val="00506F2A"/>
    <w:rPr>
      <w:rFonts w:asciiTheme="majorHAnsi" w:eastAsiaTheme="majorEastAsia" w:hAnsiTheme="majorHAnsi" w:cstheme="majorBidi"/>
      <w:color w:val="1F3763"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verlag.com/Buecher/6654/DiePsychologiedesTotalitarism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alia.de/shop/home/artikeldetails/A1063331951?ProvID=11000731&amp;gclid=cbbc1712d1d21c184e83749f1083cb3c&amp;gclsrc=3p.ds&amp;&amp;msclkid=cbbc1712d1d21c184e83749f1083cb3c&amp;utm_source=bing&amp;utm_medium=cpc&amp;utm_campaign=(DE%3ASEA)%20DSA&amp;utm_term=thalia&amp;utm_content=(DE%3ASEA)%20DSA%20%3E%20Alle%20Webseiten&amp;gclid=cbbc1712d1d21c184e83749f1083cb3c&amp;gclsrc=3p.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ubikon.news/artikel/fatale-manipul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tzpolitik.org/2020/bnd-gesetz-ausspaehen-unter-freunden-wird-legalisiert-und-ausgeweitet/?utm_source=pocket-newtab-global-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E01C-4F7A-4E26-AA67-C206BD6D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3104</Words>
  <Characters>19561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Klaus-Jürgen</dc:creator>
  <cp:keywords/>
  <dc:description/>
  <cp:lastModifiedBy>Klaus-Jürgen Bruder</cp:lastModifiedBy>
  <cp:revision>3</cp:revision>
  <cp:lastPrinted>2022-12-01T13:15:00Z</cp:lastPrinted>
  <dcterms:created xsi:type="dcterms:W3CDTF">2022-12-13T20:25:00Z</dcterms:created>
  <dcterms:modified xsi:type="dcterms:W3CDTF">2023-04-08T16:05:00Z</dcterms:modified>
</cp:coreProperties>
</file>